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19E7" w14:textId="77777777" w:rsidR="00CC4C68" w:rsidRPr="001D142D" w:rsidRDefault="00CC4C68" w:rsidP="00CC4C68">
      <w:pPr>
        <w:pStyle w:val="1"/>
        <w:spacing w:before="0" w:after="0"/>
        <w:ind w:left="63"/>
        <w:jc w:val="both"/>
        <w:rPr>
          <w:sz w:val="22"/>
          <w:szCs w:val="22"/>
          <w:u w:val="single"/>
          <w:lang w:val="ru-RU"/>
        </w:rPr>
      </w:pPr>
      <w:r w:rsidRPr="000B795F">
        <w:rPr>
          <w:b/>
          <w:sz w:val="22"/>
          <w:szCs w:val="22"/>
          <w:lang w:val="ru-RU"/>
        </w:rPr>
        <w:t>ТЕМА 4</w:t>
      </w:r>
      <w:r w:rsidRPr="00D40A78">
        <w:rPr>
          <w:b/>
          <w:sz w:val="22"/>
          <w:szCs w:val="22"/>
          <w:lang w:val="ru-RU"/>
        </w:rPr>
        <w:t>: «</w:t>
      </w:r>
      <w:r w:rsidRPr="00D40A78">
        <w:rPr>
          <w:b/>
          <w:sz w:val="22"/>
          <w:szCs w:val="22"/>
          <w:u w:val="single"/>
        </w:rPr>
        <w:t>. ГОСУДАРСТВЕННОЕ НАЛОГОВОЕ РЕГУЛИРОВАНИЕ</w:t>
      </w:r>
      <w:r w:rsidRPr="00D40A78">
        <w:rPr>
          <w:b/>
          <w:sz w:val="22"/>
          <w:szCs w:val="22"/>
          <w:u w:val="single"/>
          <w:lang w:val="ru-RU"/>
        </w:rPr>
        <w:t>»</w:t>
      </w:r>
    </w:p>
    <w:p w14:paraId="6E02AB8D" w14:textId="77777777" w:rsidR="00CC4C68" w:rsidRPr="001D142D" w:rsidRDefault="00CC4C68" w:rsidP="00CC4C68">
      <w:pPr>
        <w:pStyle w:val="1"/>
        <w:spacing w:before="0" w:after="0"/>
        <w:ind w:left="63"/>
        <w:jc w:val="both"/>
        <w:rPr>
          <w:sz w:val="22"/>
          <w:szCs w:val="22"/>
          <w:lang w:val="ru-RU"/>
        </w:rPr>
      </w:pPr>
    </w:p>
    <w:p w14:paraId="777C2B24" w14:textId="77777777" w:rsidR="00CC4C68" w:rsidRPr="000B795F" w:rsidRDefault="00CC4C68" w:rsidP="00CC4C68">
      <w:pPr>
        <w:pStyle w:val="a8"/>
        <w:numPr>
          <w:ilvl w:val="0"/>
          <w:numId w:val="3"/>
        </w:numPr>
        <w:spacing w:before="80" w:after="0" w:line="240" w:lineRule="auto"/>
        <w:jc w:val="both"/>
        <w:rPr>
          <w:rFonts w:ascii="Times New Roman" w:hAnsi="Times New Roman"/>
        </w:rPr>
      </w:pPr>
      <w:r w:rsidRPr="000B795F">
        <w:rPr>
          <w:rFonts w:ascii="Times New Roman" w:hAnsi="Times New Roman"/>
        </w:rPr>
        <w:t xml:space="preserve">Содержание государственного налогового регулирования </w:t>
      </w:r>
    </w:p>
    <w:p w14:paraId="71900C12" w14:textId="77777777" w:rsidR="00CC4C68" w:rsidRPr="000B795F" w:rsidRDefault="00CC4C68" w:rsidP="00CC4C68">
      <w:pPr>
        <w:numPr>
          <w:ilvl w:val="0"/>
          <w:numId w:val="3"/>
        </w:numPr>
        <w:jc w:val="both"/>
        <w:rPr>
          <w:sz w:val="22"/>
          <w:szCs w:val="22"/>
        </w:rPr>
      </w:pPr>
      <w:r w:rsidRPr="000B795F">
        <w:rPr>
          <w:sz w:val="22"/>
          <w:szCs w:val="22"/>
        </w:rPr>
        <w:t>Инструментарий государственного налогового регулирования</w:t>
      </w:r>
    </w:p>
    <w:p w14:paraId="3E2C0274" w14:textId="77777777" w:rsidR="00CC4C68" w:rsidRPr="000B795F" w:rsidRDefault="00CC4C68" w:rsidP="00CC4C68">
      <w:pPr>
        <w:numPr>
          <w:ilvl w:val="0"/>
          <w:numId w:val="3"/>
        </w:numPr>
        <w:jc w:val="both"/>
        <w:rPr>
          <w:sz w:val="22"/>
          <w:szCs w:val="22"/>
        </w:rPr>
      </w:pPr>
      <w:r w:rsidRPr="000B795F">
        <w:rPr>
          <w:sz w:val="22"/>
          <w:szCs w:val="22"/>
        </w:rPr>
        <w:t xml:space="preserve">Инвестиционные налоговые преференции </w:t>
      </w:r>
    </w:p>
    <w:p w14:paraId="3966F5FB" w14:textId="77777777" w:rsidR="00CC4C68" w:rsidRPr="000B795F" w:rsidRDefault="00CC4C68" w:rsidP="00CC4C68">
      <w:pPr>
        <w:pStyle w:val="a4"/>
        <w:widowControl/>
        <w:tabs>
          <w:tab w:val="clear" w:pos="720"/>
          <w:tab w:val="clear" w:pos="1080"/>
          <w:tab w:val="clear" w:pos="1260"/>
        </w:tabs>
        <w:ind w:left="0" w:firstLine="709"/>
        <w:jc w:val="both"/>
        <w:rPr>
          <w:sz w:val="22"/>
          <w:szCs w:val="22"/>
        </w:rPr>
      </w:pPr>
      <w:r w:rsidRPr="000B795F">
        <w:rPr>
          <w:bCs w:val="0"/>
          <w:sz w:val="22"/>
          <w:szCs w:val="22"/>
        </w:rPr>
        <w:t xml:space="preserve">1вопрос. </w:t>
      </w:r>
      <w:r w:rsidRPr="000B795F">
        <w:rPr>
          <w:sz w:val="22"/>
          <w:szCs w:val="22"/>
        </w:rPr>
        <w:t>Содержание государственного налогового регулирования</w:t>
      </w:r>
    </w:p>
    <w:p w14:paraId="3DF76FDB" w14:textId="77777777" w:rsidR="00CC4C68" w:rsidRPr="000B795F" w:rsidRDefault="00CC4C68" w:rsidP="00CC4C68">
      <w:pPr>
        <w:pStyle w:val="book"/>
        <w:shd w:val="clear" w:color="auto" w:fill="FDFEFF"/>
        <w:jc w:val="both"/>
        <w:rPr>
          <w:sz w:val="22"/>
          <w:szCs w:val="22"/>
        </w:rPr>
      </w:pPr>
      <w:r w:rsidRPr="000B795F">
        <w:rPr>
          <w:b/>
          <w:bCs/>
          <w:sz w:val="22"/>
          <w:szCs w:val="22"/>
        </w:rPr>
        <w:t>Государственное налоговое регулирование</w:t>
      </w:r>
      <w:r w:rsidRPr="000B795F">
        <w:rPr>
          <w:sz w:val="22"/>
          <w:szCs w:val="22"/>
        </w:rPr>
        <w:t xml:space="preserve"> представляет собой систему специальных приемов, методов и инструментов управления </w:t>
      </w:r>
      <w:proofErr w:type="gramStart"/>
      <w:r w:rsidRPr="000B795F">
        <w:rPr>
          <w:sz w:val="22"/>
          <w:szCs w:val="22"/>
        </w:rPr>
        <w:t>налогообложением  налоговыми</w:t>
      </w:r>
      <w:proofErr w:type="gramEnd"/>
      <w:r w:rsidRPr="000B795F">
        <w:rPr>
          <w:sz w:val="22"/>
          <w:szCs w:val="22"/>
        </w:rPr>
        <w:t xml:space="preserve"> потоками, направленную на целенаправленное вмешательство государства в рыночную экономику в соответствии с принятой им концепцией экономического роста.</w:t>
      </w:r>
    </w:p>
    <w:p w14:paraId="588AFDF2" w14:textId="77777777" w:rsidR="00CC4C68" w:rsidRPr="000B795F" w:rsidRDefault="00CC4C68" w:rsidP="00CC4C68">
      <w:pPr>
        <w:pStyle w:val="book"/>
        <w:shd w:val="clear" w:color="auto" w:fill="FDFEFF"/>
        <w:jc w:val="both"/>
        <w:rPr>
          <w:sz w:val="22"/>
          <w:szCs w:val="22"/>
        </w:rPr>
      </w:pPr>
      <w:r w:rsidRPr="000B795F">
        <w:rPr>
          <w:sz w:val="22"/>
          <w:szCs w:val="22"/>
        </w:rPr>
        <w:t>Конечной целью государственного налогового регулирования является создание условий для роста налоговых поступлений в бюджетную систему страны на базе роста производства, продаж и доходов экономики (на базе экономического роста) путем воздействия на различные стороны хозяйственной жизни и экономику в целом.</w:t>
      </w:r>
    </w:p>
    <w:p w14:paraId="673D2180" w14:textId="77777777" w:rsidR="00CC4C68" w:rsidRPr="000B795F" w:rsidRDefault="00CC4C68" w:rsidP="00CC4C68">
      <w:pPr>
        <w:pStyle w:val="book"/>
        <w:shd w:val="clear" w:color="auto" w:fill="FDFEFF"/>
        <w:jc w:val="both"/>
        <w:rPr>
          <w:sz w:val="22"/>
          <w:szCs w:val="22"/>
        </w:rPr>
      </w:pPr>
      <w:r w:rsidRPr="000B795F">
        <w:rPr>
          <w:sz w:val="22"/>
          <w:szCs w:val="22"/>
        </w:rPr>
        <w:t>Особенностями государственного налогового регулирования является наличие четкой макроэкономической стратегии и осознанное воздействие на экономику, непрерывное в своем развитии и относительно постоянное во времени. Оно охватывает не отдельные предприятия, а всю экономику в целом и ее сегменты.</w:t>
      </w:r>
    </w:p>
    <w:p w14:paraId="2F3B1D9E" w14:textId="77777777" w:rsidR="00CC4C68" w:rsidRPr="000B795F" w:rsidRDefault="00CC4C68" w:rsidP="00CC4C68">
      <w:pPr>
        <w:pStyle w:val="book"/>
        <w:shd w:val="clear" w:color="auto" w:fill="FDFEFF"/>
        <w:jc w:val="both"/>
        <w:rPr>
          <w:sz w:val="22"/>
          <w:szCs w:val="22"/>
        </w:rPr>
      </w:pPr>
      <w:r w:rsidRPr="000B795F">
        <w:rPr>
          <w:i/>
          <w:iCs/>
          <w:sz w:val="22"/>
          <w:szCs w:val="22"/>
        </w:rPr>
        <w:t xml:space="preserve">Налоги выступают важнейшим инструментом регулирования валового внутреннего продукта (ВВП) и национального дохода (НД) </w:t>
      </w:r>
      <w:proofErr w:type="gramStart"/>
      <w:r w:rsidRPr="000B795F">
        <w:rPr>
          <w:i/>
          <w:iCs/>
          <w:sz w:val="22"/>
          <w:szCs w:val="22"/>
        </w:rPr>
        <w:t>страны.</w:t>
      </w:r>
      <w:r w:rsidRPr="000B795F">
        <w:rPr>
          <w:sz w:val="22"/>
          <w:szCs w:val="22"/>
        </w:rPr>
        <w:t>.</w:t>
      </w:r>
      <w:proofErr w:type="gramEnd"/>
      <w:r w:rsidRPr="000B795F">
        <w:rPr>
          <w:sz w:val="22"/>
          <w:szCs w:val="22"/>
        </w:rPr>
        <w:t xml:space="preserve"> Государство, формируя налоговыми методами свои доходы, целенаправленно воздействует на экономику, темпы роста и структуру ВВП.</w:t>
      </w:r>
    </w:p>
    <w:p w14:paraId="09EC0261" w14:textId="77777777" w:rsidR="00CC4C68" w:rsidRPr="000B795F" w:rsidRDefault="00CC4C68" w:rsidP="00CC4C68">
      <w:pPr>
        <w:ind w:firstLine="709"/>
        <w:jc w:val="both"/>
        <w:rPr>
          <w:rFonts w:eastAsia="Calibri"/>
          <w:sz w:val="22"/>
          <w:szCs w:val="22"/>
        </w:rPr>
      </w:pPr>
      <w:r w:rsidRPr="000B795F">
        <w:rPr>
          <w:rFonts w:eastAsia="Calibri"/>
          <w:sz w:val="22"/>
          <w:szCs w:val="22"/>
        </w:rPr>
        <w:t>По итогам 2012 года в сравнении с 2008 годом в Казахстане отмечается положительная динамика прироста по основным индикаторам ГПФИИР: ВВП вырос на 22,5%; ВДС несырьевого сектора – на 23,4%; ВДС обрабатывающей промышленности – на 22,3%; производительность труда в обрабатывающей промышленности – на 70%; объем несырьевого экспорта – на 6,5%; уровень инновационной активности предприятий – на 3,6%; объем инновационной продукции – на 240%, энергоемкость ВВП снизилась на 13,6% (таблица 1).</w:t>
      </w:r>
    </w:p>
    <w:p w14:paraId="3E23FDC2" w14:textId="77777777" w:rsidR="00CC4C68" w:rsidRPr="000B795F" w:rsidRDefault="00CC4C68" w:rsidP="00CC4C68">
      <w:pPr>
        <w:spacing w:before="240"/>
        <w:jc w:val="both"/>
        <w:rPr>
          <w:rFonts w:eastAsia="Calibri"/>
          <w:sz w:val="22"/>
          <w:szCs w:val="22"/>
        </w:rPr>
      </w:pPr>
      <w:r w:rsidRPr="000B795F">
        <w:rPr>
          <w:rFonts w:eastAsia="Calibri"/>
          <w:sz w:val="22"/>
          <w:szCs w:val="22"/>
        </w:rPr>
        <w:t xml:space="preserve">Таблица 1. Динамика по основным целевым индикаторам ГПФИИР </w:t>
      </w:r>
      <w:proofErr w:type="gramStart"/>
      <w:r w:rsidRPr="000B795F">
        <w:rPr>
          <w:rFonts w:eastAsia="Calibri"/>
          <w:sz w:val="22"/>
          <w:szCs w:val="22"/>
        </w:rPr>
        <w:t>2008-2012</w:t>
      </w:r>
      <w:proofErr w:type="gramEnd"/>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6"/>
        <w:gridCol w:w="902"/>
        <w:gridCol w:w="806"/>
        <w:gridCol w:w="806"/>
        <w:gridCol w:w="806"/>
        <w:gridCol w:w="948"/>
        <w:gridCol w:w="1200"/>
      </w:tblGrid>
      <w:tr w:rsidR="00CC4C68" w:rsidRPr="000B795F" w14:paraId="3B8EB683" w14:textId="77777777" w:rsidTr="00F12CEA">
        <w:trPr>
          <w:trHeight w:val="83"/>
          <w:tblHeader/>
        </w:trPr>
        <w:tc>
          <w:tcPr>
            <w:tcW w:w="2042" w:type="pct"/>
            <w:tcBorders>
              <w:top w:val="single" w:sz="4" w:space="0" w:color="auto"/>
              <w:left w:val="single" w:sz="4" w:space="0" w:color="auto"/>
              <w:bottom w:val="single" w:sz="4" w:space="0" w:color="auto"/>
              <w:right w:val="single" w:sz="4" w:space="0" w:color="auto"/>
            </w:tcBorders>
            <w:noWrap/>
            <w:vAlign w:val="center"/>
          </w:tcPr>
          <w:p w14:paraId="05CAD000" w14:textId="77777777" w:rsidR="00CC4C68" w:rsidRPr="000B795F" w:rsidRDefault="00CC4C68" w:rsidP="00F12CEA">
            <w:pPr>
              <w:jc w:val="both"/>
              <w:rPr>
                <w:b/>
                <w:bCs/>
                <w:sz w:val="22"/>
                <w:szCs w:val="22"/>
              </w:rPr>
            </w:pPr>
            <w:r w:rsidRPr="000B795F">
              <w:rPr>
                <w:b/>
                <w:bCs/>
                <w:sz w:val="22"/>
                <w:szCs w:val="22"/>
              </w:rPr>
              <w:t>Индикатор</w:t>
            </w:r>
          </w:p>
        </w:tc>
        <w:tc>
          <w:tcPr>
            <w:tcW w:w="488" w:type="pct"/>
            <w:tcBorders>
              <w:top w:val="single" w:sz="4" w:space="0" w:color="auto"/>
              <w:left w:val="single" w:sz="4" w:space="0" w:color="auto"/>
              <w:bottom w:val="single" w:sz="4" w:space="0" w:color="auto"/>
              <w:right w:val="single" w:sz="4" w:space="0" w:color="auto"/>
            </w:tcBorders>
            <w:vAlign w:val="center"/>
          </w:tcPr>
          <w:p w14:paraId="509A3F47" w14:textId="77777777" w:rsidR="00CC4C68" w:rsidRPr="000B795F" w:rsidRDefault="00CC4C68" w:rsidP="00F12CEA">
            <w:pPr>
              <w:jc w:val="both"/>
              <w:rPr>
                <w:b/>
                <w:bCs/>
                <w:sz w:val="22"/>
                <w:szCs w:val="22"/>
              </w:rPr>
            </w:pPr>
            <w:r w:rsidRPr="000B795F">
              <w:rPr>
                <w:b/>
                <w:bCs/>
                <w:sz w:val="22"/>
                <w:szCs w:val="22"/>
              </w:rPr>
              <w:t>2008</w:t>
            </w:r>
          </w:p>
        </w:tc>
        <w:tc>
          <w:tcPr>
            <w:tcW w:w="436" w:type="pct"/>
            <w:tcBorders>
              <w:top w:val="single" w:sz="4" w:space="0" w:color="auto"/>
              <w:left w:val="single" w:sz="4" w:space="0" w:color="auto"/>
              <w:bottom w:val="single" w:sz="4" w:space="0" w:color="auto"/>
              <w:right w:val="single" w:sz="4" w:space="0" w:color="auto"/>
            </w:tcBorders>
            <w:vAlign w:val="center"/>
          </w:tcPr>
          <w:p w14:paraId="487A783C" w14:textId="77777777" w:rsidR="00CC4C68" w:rsidRPr="000B795F" w:rsidRDefault="00CC4C68" w:rsidP="00F12CEA">
            <w:pPr>
              <w:jc w:val="both"/>
              <w:rPr>
                <w:b/>
                <w:bCs/>
                <w:sz w:val="22"/>
                <w:szCs w:val="22"/>
              </w:rPr>
            </w:pPr>
            <w:r w:rsidRPr="000B795F">
              <w:rPr>
                <w:b/>
                <w:bCs/>
                <w:sz w:val="22"/>
                <w:szCs w:val="22"/>
              </w:rPr>
              <w:t>2009</w:t>
            </w:r>
          </w:p>
        </w:tc>
        <w:tc>
          <w:tcPr>
            <w:tcW w:w="436" w:type="pct"/>
            <w:tcBorders>
              <w:top w:val="single" w:sz="4" w:space="0" w:color="auto"/>
              <w:left w:val="single" w:sz="4" w:space="0" w:color="auto"/>
              <w:bottom w:val="single" w:sz="4" w:space="0" w:color="auto"/>
              <w:right w:val="single" w:sz="4" w:space="0" w:color="auto"/>
            </w:tcBorders>
            <w:vAlign w:val="center"/>
          </w:tcPr>
          <w:p w14:paraId="1D636FCA" w14:textId="77777777" w:rsidR="00CC4C68" w:rsidRPr="000B795F" w:rsidRDefault="00CC4C68" w:rsidP="00F12CEA">
            <w:pPr>
              <w:jc w:val="both"/>
              <w:rPr>
                <w:b/>
                <w:bCs/>
                <w:sz w:val="22"/>
                <w:szCs w:val="22"/>
              </w:rPr>
            </w:pPr>
            <w:r w:rsidRPr="000B795F">
              <w:rPr>
                <w:b/>
                <w:bCs/>
                <w:sz w:val="22"/>
                <w:szCs w:val="22"/>
              </w:rPr>
              <w:t>2010</w:t>
            </w:r>
          </w:p>
        </w:tc>
        <w:tc>
          <w:tcPr>
            <w:tcW w:w="436" w:type="pct"/>
            <w:tcBorders>
              <w:top w:val="single" w:sz="4" w:space="0" w:color="auto"/>
              <w:left w:val="single" w:sz="4" w:space="0" w:color="auto"/>
              <w:bottom w:val="single" w:sz="4" w:space="0" w:color="auto"/>
              <w:right w:val="single" w:sz="4" w:space="0" w:color="auto"/>
            </w:tcBorders>
            <w:vAlign w:val="center"/>
          </w:tcPr>
          <w:p w14:paraId="0AC451A2" w14:textId="77777777" w:rsidR="00CC4C68" w:rsidRPr="000B795F" w:rsidRDefault="00CC4C68" w:rsidP="00F12CEA">
            <w:pPr>
              <w:jc w:val="both"/>
              <w:rPr>
                <w:b/>
                <w:bCs/>
                <w:sz w:val="22"/>
                <w:szCs w:val="22"/>
              </w:rPr>
            </w:pPr>
            <w:r w:rsidRPr="000B795F">
              <w:rPr>
                <w:b/>
                <w:bCs/>
                <w:sz w:val="22"/>
                <w:szCs w:val="22"/>
              </w:rPr>
              <w:t>2011</w:t>
            </w:r>
          </w:p>
        </w:tc>
        <w:tc>
          <w:tcPr>
            <w:tcW w:w="513" w:type="pct"/>
            <w:tcBorders>
              <w:top w:val="single" w:sz="4" w:space="0" w:color="auto"/>
              <w:left w:val="single" w:sz="4" w:space="0" w:color="auto"/>
              <w:bottom w:val="single" w:sz="4" w:space="0" w:color="auto"/>
              <w:right w:val="single" w:sz="4" w:space="0" w:color="auto"/>
            </w:tcBorders>
            <w:vAlign w:val="center"/>
          </w:tcPr>
          <w:p w14:paraId="287C5EA3" w14:textId="77777777" w:rsidR="00CC4C68" w:rsidRPr="000B795F" w:rsidRDefault="00CC4C68" w:rsidP="00F12CEA">
            <w:pPr>
              <w:jc w:val="both"/>
              <w:rPr>
                <w:b/>
                <w:bCs/>
                <w:sz w:val="22"/>
                <w:szCs w:val="22"/>
              </w:rPr>
            </w:pPr>
            <w:r w:rsidRPr="000B795F">
              <w:rPr>
                <w:b/>
                <w:bCs/>
                <w:sz w:val="22"/>
                <w:szCs w:val="22"/>
              </w:rPr>
              <w:t>2012</w:t>
            </w:r>
          </w:p>
        </w:tc>
        <w:tc>
          <w:tcPr>
            <w:tcW w:w="649" w:type="pct"/>
            <w:tcBorders>
              <w:top w:val="single" w:sz="4" w:space="0" w:color="auto"/>
              <w:left w:val="single" w:sz="4" w:space="0" w:color="auto"/>
              <w:bottom w:val="single" w:sz="4" w:space="0" w:color="auto"/>
              <w:right w:val="single" w:sz="4" w:space="0" w:color="auto"/>
            </w:tcBorders>
            <w:vAlign w:val="center"/>
          </w:tcPr>
          <w:p w14:paraId="46476230" w14:textId="77777777" w:rsidR="00CC4C68" w:rsidRPr="000B795F" w:rsidRDefault="00CC4C68" w:rsidP="00F12CEA">
            <w:pPr>
              <w:jc w:val="both"/>
              <w:rPr>
                <w:b/>
                <w:bCs/>
                <w:sz w:val="22"/>
                <w:szCs w:val="22"/>
              </w:rPr>
            </w:pPr>
            <w:r w:rsidRPr="000B795F">
              <w:rPr>
                <w:b/>
                <w:bCs/>
                <w:sz w:val="22"/>
                <w:szCs w:val="22"/>
              </w:rPr>
              <w:t>2012 к 2008, %</w:t>
            </w:r>
          </w:p>
        </w:tc>
      </w:tr>
      <w:tr w:rsidR="00CC4C68" w:rsidRPr="000B795F" w14:paraId="13073474" w14:textId="77777777" w:rsidTr="00F12CEA">
        <w:trPr>
          <w:trHeight w:val="167"/>
        </w:trPr>
        <w:tc>
          <w:tcPr>
            <w:tcW w:w="2042" w:type="pct"/>
            <w:tcBorders>
              <w:top w:val="single" w:sz="4" w:space="0" w:color="auto"/>
              <w:left w:val="single" w:sz="4" w:space="0" w:color="auto"/>
              <w:bottom w:val="single" w:sz="4" w:space="0" w:color="auto"/>
              <w:right w:val="single" w:sz="4" w:space="0" w:color="auto"/>
            </w:tcBorders>
            <w:vAlign w:val="center"/>
          </w:tcPr>
          <w:p w14:paraId="6CFC88B8" w14:textId="77777777" w:rsidR="00CC4C68" w:rsidRPr="000B795F" w:rsidRDefault="00CC4C68" w:rsidP="00F12CEA">
            <w:pPr>
              <w:jc w:val="both"/>
              <w:rPr>
                <w:bCs/>
                <w:sz w:val="22"/>
                <w:szCs w:val="22"/>
              </w:rPr>
            </w:pPr>
            <w:r w:rsidRPr="000B795F">
              <w:rPr>
                <w:bCs/>
                <w:sz w:val="22"/>
                <w:szCs w:val="22"/>
              </w:rPr>
              <w:t xml:space="preserve">Валовой внутренний продукт, </w:t>
            </w:r>
          </w:p>
          <w:p w14:paraId="2F15DF79" w14:textId="77777777" w:rsidR="00CC4C68" w:rsidRPr="000B795F" w:rsidRDefault="00CC4C68" w:rsidP="00F12CEA">
            <w:pPr>
              <w:jc w:val="both"/>
              <w:rPr>
                <w:bCs/>
                <w:sz w:val="22"/>
                <w:szCs w:val="22"/>
              </w:rPr>
            </w:pPr>
            <w:r w:rsidRPr="000B795F">
              <w:rPr>
                <w:bCs/>
                <w:sz w:val="22"/>
                <w:szCs w:val="22"/>
              </w:rPr>
              <w:t>трлн тенге</w:t>
            </w:r>
          </w:p>
        </w:tc>
        <w:tc>
          <w:tcPr>
            <w:tcW w:w="488" w:type="pct"/>
            <w:tcBorders>
              <w:top w:val="single" w:sz="4" w:space="0" w:color="auto"/>
              <w:left w:val="single" w:sz="4" w:space="0" w:color="auto"/>
              <w:bottom w:val="single" w:sz="4" w:space="0" w:color="auto"/>
              <w:right w:val="single" w:sz="4" w:space="0" w:color="auto"/>
            </w:tcBorders>
            <w:vAlign w:val="bottom"/>
          </w:tcPr>
          <w:p w14:paraId="752AFCB2" w14:textId="77777777" w:rsidR="00CC4C68" w:rsidRPr="000B795F" w:rsidRDefault="00CC4C68" w:rsidP="00F12CEA">
            <w:pPr>
              <w:jc w:val="both"/>
              <w:rPr>
                <w:rFonts w:eastAsia="Calibri"/>
                <w:bCs/>
                <w:sz w:val="22"/>
                <w:szCs w:val="22"/>
              </w:rPr>
            </w:pPr>
            <w:r w:rsidRPr="000B795F">
              <w:rPr>
                <w:rFonts w:eastAsia="Calibri"/>
                <w:bCs/>
                <w:sz w:val="22"/>
                <w:szCs w:val="22"/>
              </w:rPr>
              <w:t>16,1</w:t>
            </w:r>
          </w:p>
        </w:tc>
        <w:tc>
          <w:tcPr>
            <w:tcW w:w="436" w:type="pct"/>
            <w:tcBorders>
              <w:top w:val="single" w:sz="4" w:space="0" w:color="auto"/>
              <w:left w:val="single" w:sz="4" w:space="0" w:color="auto"/>
              <w:bottom w:val="single" w:sz="4" w:space="0" w:color="auto"/>
              <w:right w:val="single" w:sz="4" w:space="0" w:color="auto"/>
            </w:tcBorders>
            <w:vAlign w:val="bottom"/>
          </w:tcPr>
          <w:p w14:paraId="0D2D2D68" w14:textId="77777777" w:rsidR="00CC4C68" w:rsidRPr="000B795F" w:rsidRDefault="00CC4C68" w:rsidP="00F12CEA">
            <w:pPr>
              <w:jc w:val="both"/>
              <w:rPr>
                <w:rFonts w:eastAsia="Calibri"/>
                <w:bCs/>
                <w:sz w:val="22"/>
                <w:szCs w:val="22"/>
              </w:rPr>
            </w:pPr>
            <w:r w:rsidRPr="000B795F">
              <w:rPr>
                <w:rFonts w:eastAsia="Calibri"/>
                <w:bCs/>
                <w:sz w:val="22"/>
                <w:szCs w:val="22"/>
              </w:rPr>
              <w:t>17,0</w:t>
            </w:r>
          </w:p>
        </w:tc>
        <w:tc>
          <w:tcPr>
            <w:tcW w:w="436" w:type="pct"/>
            <w:tcBorders>
              <w:top w:val="single" w:sz="4" w:space="0" w:color="auto"/>
              <w:left w:val="single" w:sz="4" w:space="0" w:color="auto"/>
              <w:bottom w:val="single" w:sz="4" w:space="0" w:color="auto"/>
              <w:right w:val="single" w:sz="4" w:space="0" w:color="auto"/>
            </w:tcBorders>
            <w:vAlign w:val="bottom"/>
          </w:tcPr>
          <w:p w14:paraId="1933A242" w14:textId="77777777" w:rsidR="00CC4C68" w:rsidRPr="000B795F" w:rsidRDefault="00CC4C68" w:rsidP="00F12CEA">
            <w:pPr>
              <w:jc w:val="both"/>
              <w:rPr>
                <w:rFonts w:eastAsia="Calibri"/>
                <w:bCs/>
                <w:sz w:val="22"/>
                <w:szCs w:val="22"/>
              </w:rPr>
            </w:pPr>
            <w:r w:rsidRPr="000B795F">
              <w:rPr>
                <w:rFonts w:eastAsia="Calibri"/>
                <w:bCs/>
                <w:sz w:val="22"/>
                <w:szCs w:val="22"/>
              </w:rPr>
              <w:t>21,8</w:t>
            </w:r>
          </w:p>
        </w:tc>
        <w:tc>
          <w:tcPr>
            <w:tcW w:w="436" w:type="pct"/>
            <w:tcBorders>
              <w:top w:val="single" w:sz="4" w:space="0" w:color="auto"/>
              <w:left w:val="single" w:sz="4" w:space="0" w:color="auto"/>
              <w:bottom w:val="single" w:sz="4" w:space="0" w:color="auto"/>
              <w:right w:val="single" w:sz="4" w:space="0" w:color="auto"/>
            </w:tcBorders>
            <w:vAlign w:val="bottom"/>
          </w:tcPr>
          <w:p w14:paraId="6CE48FA5" w14:textId="77777777" w:rsidR="00CC4C68" w:rsidRPr="000B795F" w:rsidRDefault="00CC4C68" w:rsidP="00F12CEA">
            <w:pPr>
              <w:jc w:val="both"/>
              <w:rPr>
                <w:rFonts w:eastAsia="Calibri"/>
                <w:bCs/>
                <w:sz w:val="22"/>
                <w:szCs w:val="22"/>
              </w:rPr>
            </w:pPr>
            <w:r w:rsidRPr="000B795F">
              <w:rPr>
                <w:rFonts w:eastAsia="Calibri"/>
                <w:bCs/>
                <w:sz w:val="22"/>
                <w:szCs w:val="22"/>
              </w:rPr>
              <w:t>27,6</w:t>
            </w:r>
          </w:p>
        </w:tc>
        <w:tc>
          <w:tcPr>
            <w:tcW w:w="513" w:type="pct"/>
            <w:tcBorders>
              <w:top w:val="single" w:sz="4" w:space="0" w:color="auto"/>
              <w:left w:val="single" w:sz="4" w:space="0" w:color="auto"/>
              <w:bottom w:val="single" w:sz="4" w:space="0" w:color="auto"/>
              <w:right w:val="single" w:sz="4" w:space="0" w:color="auto"/>
            </w:tcBorders>
            <w:vAlign w:val="bottom"/>
          </w:tcPr>
          <w:p w14:paraId="1767ACB2" w14:textId="77777777" w:rsidR="00CC4C68" w:rsidRPr="000B795F" w:rsidRDefault="00CC4C68" w:rsidP="00F12CEA">
            <w:pPr>
              <w:jc w:val="both"/>
              <w:rPr>
                <w:rFonts w:eastAsia="Calibri"/>
                <w:bCs/>
                <w:sz w:val="22"/>
                <w:szCs w:val="22"/>
              </w:rPr>
            </w:pPr>
            <w:r w:rsidRPr="000B795F">
              <w:rPr>
                <w:rFonts w:eastAsia="Calibri"/>
                <w:bCs/>
                <w:sz w:val="22"/>
                <w:szCs w:val="22"/>
              </w:rPr>
              <w:t>30,3</w:t>
            </w:r>
          </w:p>
        </w:tc>
        <w:tc>
          <w:tcPr>
            <w:tcW w:w="649" w:type="pct"/>
            <w:tcBorders>
              <w:top w:val="single" w:sz="4" w:space="0" w:color="auto"/>
              <w:left w:val="single" w:sz="4" w:space="0" w:color="auto"/>
              <w:bottom w:val="single" w:sz="4" w:space="0" w:color="auto"/>
              <w:right w:val="single" w:sz="4" w:space="0" w:color="auto"/>
            </w:tcBorders>
            <w:vAlign w:val="bottom"/>
          </w:tcPr>
          <w:p w14:paraId="7F58F6F6" w14:textId="77777777" w:rsidR="00CC4C68" w:rsidRPr="000B795F" w:rsidRDefault="00CC4C68" w:rsidP="00F12CEA">
            <w:pPr>
              <w:jc w:val="both"/>
              <w:rPr>
                <w:bCs/>
                <w:sz w:val="22"/>
                <w:szCs w:val="22"/>
              </w:rPr>
            </w:pPr>
            <w:r w:rsidRPr="000B795F">
              <w:rPr>
                <w:bCs/>
                <w:sz w:val="22"/>
                <w:szCs w:val="22"/>
              </w:rPr>
              <w:t>122,5</w:t>
            </w:r>
          </w:p>
        </w:tc>
      </w:tr>
      <w:tr w:rsidR="00CC4C68" w:rsidRPr="000B795F" w14:paraId="5FC6DBC4" w14:textId="77777777" w:rsidTr="00F12CEA">
        <w:trPr>
          <w:trHeight w:val="250"/>
        </w:trPr>
        <w:tc>
          <w:tcPr>
            <w:tcW w:w="2042" w:type="pct"/>
            <w:tcBorders>
              <w:top w:val="single" w:sz="4" w:space="0" w:color="auto"/>
              <w:left w:val="single" w:sz="4" w:space="0" w:color="auto"/>
              <w:bottom w:val="single" w:sz="4" w:space="0" w:color="auto"/>
              <w:right w:val="single" w:sz="4" w:space="0" w:color="auto"/>
            </w:tcBorders>
            <w:vAlign w:val="center"/>
          </w:tcPr>
          <w:p w14:paraId="16740E00" w14:textId="77777777" w:rsidR="00CC4C68" w:rsidRPr="000B795F" w:rsidRDefault="00CC4C68" w:rsidP="00F12CEA">
            <w:pPr>
              <w:jc w:val="both"/>
              <w:rPr>
                <w:bCs/>
                <w:sz w:val="22"/>
                <w:szCs w:val="22"/>
              </w:rPr>
            </w:pPr>
            <w:r w:rsidRPr="000B795F">
              <w:rPr>
                <w:bCs/>
                <w:sz w:val="22"/>
                <w:szCs w:val="22"/>
              </w:rPr>
              <w:t>Валовая добавленная стоимость несырьевого сектора, трлн тенге</w:t>
            </w:r>
          </w:p>
        </w:tc>
        <w:tc>
          <w:tcPr>
            <w:tcW w:w="488" w:type="pct"/>
            <w:tcBorders>
              <w:top w:val="single" w:sz="4" w:space="0" w:color="auto"/>
              <w:left w:val="single" w:sz="4" w:space="0" w:color="auto"/>
              <w:bottom w:val="single" w:sz="4" w:space="0" w:color="auto"/>
              <w:right w:val="single" w:sz="4" w:space="0" w:color="auto"/>
            </w:tcBorders>
            <w:vAlign w:val="bottom"/>
          </w:tcPr>
          <w:p w14:paraId="7D49D0E4" w14:textId="77777777" w:rsidR="00CC4C68" w:rsidRPr="000B795F" w:rsidRDefault="00CC4C68" w:rsidP="00F12CEA">
            <w:pPr>
              <w:jc w:val="both"/>
              <w:rPr>
                <w:rFonts w:eastAsia="Calibri"/>
                <w:sz w:val="22"/>
                <w:szCs w:val="22"/>
              </w:rPr>
            </w:pPr>
            <w:r w:rsidRPr="000B795F">
              <w:rPr>
                <w:rFonts w:eastAsia="Calibri"/>
                <w:sz w:val="22"/>
                <w:szCs w:val="22"/>
              </w:rPr>
              <w:t>11,8</w:t>
            </w:r>
          </w:p>
        </w:tc>
        <w:tc>
          <w:tcPr>
            <w:tcW w:w="436" w:type="pct"/>
            <w:tcBorders>
              <w:top w:val="single" w:sz="4" w:space="0" w:color="auto"/>
              <w:left w:val="single" w:sz="4" w:space="0" w:color="auto"/>
              <w:bottom w:val="single" w:sz="4" w:space="0" w:color="auto"/>
              <w:right w:val="single" w:sz="4" w:space="0" w:color="auto"/>
            </w:tcBorders>
            <w:vAlign w:val="bottom"/>
          </w:tcPr>
          <w:p w14:paraId="13DFB231" w14:textId="77777777" w:rsidR="00CC4C68" w:rsidRPr="000B795F" w:rsidRDefault="00CC4C68" w:rsidP="00F12CEA">
            <w:pPr>
              <w:jc w:val="both"/>
              <w:rPr>
                <w:rFonts w:eastAsia="Calibri"/>
                <w:sz w:val="22"/>
                <w:szCs w:val="22"/>
              </w:rPr>
            </w:pPr>
            <w:r w:rsidRPr="000B795F">
              <w:rPr>
                <w:rFonts w:eastAsia="Calibri"/>
                <w:sz w:val="22"/>
                <w:szCs w:val="22"/>
              </w:rPr>
              <w:t>12,7</w:t>
            </w:r>
          </w:p>
        </w:tc>
        <w:tc>
          <w:tcPr>
            <w:tcW w:w="436" w:type="pct"/>
            <w:tcBorders>
              <w:top w:val="single" w:sz="4" w:space="0" w:color="auto"/>
              <w:left w:val="single" w:sz="4" w:space="0" w:color="auto"/>
              <w:bottom w:val="single" w:sz="4" w:space="0" w:color="auto"/>
              <w:right w:val="single" w:sz="4" w:space="0" w:color="auto"/>
            </w:tcBorders>
            <w:vAlign w:val="bottom"/>
          </w:tcPr>
          <w:p w14:paraId="07C3C2EB" w14:textId="77777777" w:rsidR="00CC4C68" w:rsidRPr="000B795F" w:rsidRDefault="00CC4C68" w:rsidP="00F12CEA">
            <w:pPr>
              <w:jc w:val="both"/>
              <w:rPr>
                <w:rFonts w:eastAsia="Calibri"/>
                <w:sz w:val="22"/>
                <w:szCs w:val="22"/>
              </w:rPr>
            </w:pPr>
            <w:r w:rsidRPr="000B795F">
              <w:rPr>
                <w:rFonts w:eastAsia="Calibri"/>
                <w:sz w:val="22"/>
                <w:szCs w:val="22"/>
              </w:rPr>
              <w:t>15,9</w:t>
            </w:r>
          </w:p>
        </w:tc>
        <w:tc>
          <w:tcPr>
            <w:tcW w:w="436" w:type="pct"/>
            <w:tcBorders>
              <w:top w:val="single" w:sz="4" w:space="0" w:color="auto"/>
              <w:left w:val="single" w:sz="4" w:space="0" w:color="auto"/>
              <w:bottom w:val="single" w:sz="4" w:space="0" w:color="auto"/>
              <w:right w:val="single" w:sz="4" w:space="0" w:color="auto"/>
            </w:tcBorders>
            <w:vAlign w:val="bottom"/>
          </w:tcPr>
          <w:p w14:paraId="7C195EED" w14:textId="77777777" w:rsidR="00CC4C68" w:rsidRPr="000B795F" w:rsidRDefault="00CC4C68" w:rsidP="00F12CEA">
            <w:pPr>
              <w:jc w:val="both"/>
              <w:rPr>
                <w:rFonts w:eastAsia="Calibri"/>
                <w:sz w:val="22"/>
                <w:szCs w:val="22"/>
              </w:rPr>
            </w:pPr>
            <w:r w:rsidRPr="000B795F">
              <w:rPr>
                <w:rFonts w:eastAsia="Calibri"/>
                <w:sz w:val="22"/>
                <w:szCs w:val="22"/>
              </w:rPr>
              <w:t>19,3</w:t>
            </w:r>
          </w:p>
        </w:tc>
        <w:tc>
          <w:tcPr>
            <w:tcW w:w="513" w:type="pct"/>
            <w:tcBorders>
              <w:top w:val="single" w:sz="4" w:space="0" w:color="auto"/>
              <w:left w:val="single" w:sz="4" w:space="0" w:color="auto"/>
              <w:bottom w:val="single" w:sz="4" w:space="0" w:color="auto"/>
              <w:right w:val="single" w:sz="4" w:space="0" w:color="auto"/>
            </w:tcBorders>
            <w:vAlign w:val="bottom"/>
          </w:tcPr>
          <w:p w14:paraId="745B94B8" w14:textId="77777777" w:rsidR="00CC4C68" w:rsidRPr="000B795F" w:rsidRDefault="00CC4C68" w:rsidP="00F12CEA">
            <w:pPr>
              <w:jc w:val="both"/>
              <w:rPr>
                <w:rFonts w:eastAsia="Calibri"/>
                <w:sz w:val="22"/>
                <w:szCs w:val="22"/>
              </w:rPr>
            </w:pPr>
            <w:r w:rsidRPr="000B795F">
              <w:rPr>
                <w:rFonts w:eastAsia="Calibri"/>
                <w:sz w:val="22"/>
                <w:szCs w:val="22"/>
              </w:rPr>
              <w:t>21,9</w:t>
            </w:r>
          </w:p>
        </w:tc>
        <w:tc>
          <w:tcPr>
            <w:tcW w:w="649" w:type="pct"/>
            <w:tcBorders>
              <w:top w:val="single" w:sz="4" w:space="0" w:color="auto"/>
              <w:left w:val="single" w:sz="4" w:space="0" w:color="auto"/>
              <w:bottom w:val="single" w:sz="4" w:space="0" w:color="auto"/>
              <w:right w:val="single" w:sz="4" w:space="0" w:color="auto"/>
            </w:tcBorders>
            <w:vAlign w:val="bottom"/>
          </w:tcPr>
          <w:p w14:paraId="786542F6" w14:textId="77777777" w:rsidR="00CC4C68" w:rsidRPr="000B795F" w:rsidRDefault="00CC4C68" w:rsidP="00F12CEA">
            <w:pPr>
              <w:jc w:val="both"/>
              <w:rPr>
                <w:bCs/>
                <w:sz w:val="22"/>
                <w:szCs w:val="22"/>
              </w:rPr>
            </w:pPr>
            <w:r w:rsidRPr="000B795F">
              <w:rPr>
                <w:bCs/>
                <w:sz w:val="22"/>
                <w:szCs w:val="22"/>
              </w:rPr>
              <w:t>123,4</w:t>
            </w:r>
          </w:p>
        </w:tc>
      </w:tr>
      <w:tr w:rsidR="00CC4C68" w:rsidRPr="000B795F" w14:paraId="3FEBFEA9" w14:textId="77777777" w:rsidTr="00F12CEA">
        <w:trPr>
          <w:trHeight w:val="250"/>
        </w:trPr>
        <w:tc>
          <w:tcPr>
            <w:tcW w:w="2042" w:type="pct"/>
            <w:tcBorders>
              <w:top w:val="single" w:sz="4" w:space="0" w:color="auto"/>
              <w:left w:val="single" w:sz="4" w:space="0" w:color="auto"/>
              <w:bottom w:val="single" w:sz="4" w:space="0" w:color="auto"/>
              <w:right w:val="single" w:sz="4" w:space="0" w:color="auto"/>
            </w:tcBorders>
            <w:vAlign w:val="center"/>
          </w:tcPr>
          <w:p w14:paraId="6AE9C68B" w14:textId="77777777" w:rsidR="00CC4C68" w:rsidRPr="000B795F" w:rsidRDefault="00CC4C68" w:rsidP="00F12CEA">
            <w:pPr>
              <w:jc w:val="both"/>
              <w:rPr>
                <w:bCs/>
                <w:sz w:val="22"/>
                <w:szCs w:val="22"/>
              </w:rPr>
            </w:pPr>
            <w:r w:rsidRPr="000B795F">
              <w:rPr>
                <w:bCs/>
                <w:sz w:val="22"/>
                <w:szCs w:val="22"/>
              </w:rPr>
              <w:t>Валовая добавленная стоимость обрабатывающей промышленности, трлн тенге</w:t>
            </w:r>
          </w:p>
        </w:tc>
        <w:tc>
          <w:tcPr>
            <w:tcW w:w="488" w:type="pct"/>
            <w:tcBorders>
              <w:top w:val="single" w:sz="4" w:space="0" w:color="auto"/>
              <w:left w:val="single" w:sz="4" w:space="0" w:color="auto"/>
              <w:bottom w:val="single" w:sz="4" w:space="0" w:color="auto"/>
              <w:right w:val="single" w:sz="4" w:space="0" w:color="auto"/>
            </w:tcBorders>
            <w:vAlign w:val="bottom"/>
          </w:tcPr>
          <w:p w14:paraId="2572A242" w14:textId="77777777" w:rsidR="00CC4C68" w:rsidRPr="000B795F" w:rsidRDefault="00CC4C68" w:rsidP="00F12CEA">
            <w:pPr>
              <w:jc w:val="both"/>
              <w:rPr>
                <w:rFonts w:eastAsia="Calibri"/>
                <w:bCs/>
                <w:sz w:val="22"/>
                <w:szCs w:val="22"/>
              </w:rPr>
            </w:pPr>
            <w:r w:rsidRPr="000B795F">
              <w:rPr>
                <w:rFonts w:eastAsia="Calibri"/>
                <w:bCs/>
                <w:sz w:val="22"/>
                <w:szCs w:val="22"/>
              </w:rPr>
              <w:t>1,84</w:t>
            </w:r>
          </w:p>
        </w:tc>
        <w:tc>
          <w:tcPr>
            <w:tcW w:w="436" w:type="pct"/>
            <w:tcBorders>
              <w:top w:val="single" w:sz="4" w:space="0" w:color="auto"/>
              <w:left w:val="single" w:sz="4" w:space="0" w:color="auto"/>
              <w:bottom w:val="single" w:sz="4" w:space="0" w:color="auto"/>
              <w:right w:val="single" w:sz="4" w:space="0" w:color="auto"/>
            </w:tcBorders>
            <w:vAlign w:val="bottom"/>
          </w:tcPr>
          <w:p w14:paraId="39C776D9" w14:textId="77777777" w:rsidR="00CC4C68" w:rsidRPr="000B795F" w:rsidRDefault="00CC4C68" w:rsidP="00F12CEA">
            <w:pPr>
              <w:jc w:val="both"/>
              <w:rPr>
                <w:rFonts w:eastAsia="Calibri"/>
                <w:bCs/>
                <w:sz w:val="22"/>
                <w:szCs w:val="22"/>
              </w:rPr>
            </w:pPr>
            <w:r w:rsidRPr="000B795F">
              <w:rPr>
                <w:rFonts w:eastAsia="Calibri"/>
                <w:bCs/>
                <w:sz w:val="22"/>
                <w:szCs w:val="22"/>
              </w:rPr>
              <w:t>1,79</w:t>
            </w:r>
          </w:p>
        </w:tc>
        <w:tc>
          <w:tcPr>
            <w:tcW w:w="436" w:type="pct"/>
            <w:tcBorders>
              <w:top w:val="single" w:sz="4" w:space="0" w:color="auto"/>
              <w:left w:val="single" w:sz="4" w:space="0" w:color="auto"/>
              <w:bottom w:val="single" w:sz="4" w:space="0" w:color="auto"/>
              <w:right w:val="single" w:sz="4" w:space="0" w:color="auto"/>
            </w:tcBorders>
            <w:vAlign w:val="bottom"/>
          </w:tcPr>
          <w:p w14:paraId="34273781" w14:textId="77777777" w:rsidR="00CC4C68" w:rsidRPr="000B795F" w:rsidRDefault="00CC4C68" w:rsidP="00F12CEA">
            <w:pPr>
              <w:jc w:val="both"/>
              <w:rPr>
                <w:rFonts w:eastAsia="Calibri"/>
                <w:bCs/>
                <w:sz w:val="22"/>
                <w:szCs w:val="22"/>
              </w:rPr>
            </w:pPr>
            <w:r w:rsidRPr="000B795F">
              <w:rPr>
                <w:rFonts w:eastAsia="Calibri"/>
                <w:bCs/>
                <w:sz w:val="22"/>
                <w:szCs w:val="22"/>
              </w:rPr>
              <w:t>2,5</w:t>
            </w:r>
          </w:p>
        </w:tc>
        <w:tc>
          <w:tcPr>
            <w:tcW w:w="436" w:type="pct"/>
            <w:tcBorders>
              <w:top w:val="single" w:sz="4" w:space="0" w:color="auto"/>
              <w:left w:val="single" w:sz="4" w:space="0" w:color="auto"/>
              <w:bottom w:val="single" w:sz="4" w:space="0" w:color="auto"/>
              <w:right w:val="single" w:sz="4" w:space="0" w:color="auto"/>
            </w:tcBorders>
            <w:vAlign w:val="bottom"/>
          </w:tcPr>
          <w:p w14:paraId="5F890D14" w14:textId="77777777" w:rsidR="00CC4C68" w:rsidRPr="000B795F" w:rsidRDefault="00CC4C68" w:rsidP="00F12CEA">
            <w:pPr>
              <w:jc w:val="both"/>
              <w:rPr>
                <w:rFonts w:eastAsia="Calibri"/>
                <w:bCs/>
                <w:sz w:val="22"/>
                <w:szCs w:val="22"/>
              </w:rPr>
            </w:pPr>
            <w:r w:rsidRPr="000B795F">
              <w:rPr>
                <w:rFonts w:eastAsia="Calibri"/>
                <w:bCs/>
                <w:sz w:val="22"/>
                <w:szCs w:val="22"/>
              </w:rPr>
              <w:t>3,1</w:t>
            </w:r>
          </w:p>
        </w:tc>
        <w:tc>
          <w:tcPr>
            <w:tcW w:w="513" w:type="pct"/>
            <w:tcBorders>
              <w:top w:val="single" w:sz="4" w:space="0" w:color="auto"/>
              <w:left w:val="single" w:sz="4" w:space="0" w:color="auto"/>
              <w:bottom w:val="single" w:sz="4" w:space="0" w:color="auto"/>
              <w:right w:val="single" w:sz="4" w:space="0" w:color="auto"/>
            </w:tcBorders>
            <w:vAlign w:val="bottom"/>
          </w:tcPr>
          <w:p w14:paraId="27C7A177" w14:textId="77777777" w:rsidR="00CC4C68" w:rsidRPr="000B795F" w:rsidRDefault="00CC4C68" w:rsidP="00F12CEA">
            <w:pPr>
              <w:jc w:val="both"/>
              <w:rPr>
                <w:rFonts w:eastAsia="Calibri"/>
                <w:bCs/>
                <w:sz w:val="22"/>
                <w:szCs w:val="22"/>
              </w:rPr>
            </w:pPr>
            <w:r w:rsidRPr="000B795F">
              <w:rPr>
                <w:rFonts w:eastAsia="Calibri"/>
                <w:bCs/>
                <w:sz w:val="22"/>
                <w:szCs w:val="22"/>
              </w:rPr>
              <w:t>3,4</w:t>
            </w:r>
          </w:p>
        </w:tc>
        <w:tc>
          <w:tcPr>
            <w:tcW w:w="649" w:type="pct"/>
            <w:tcBorders>
              <w:top w:val="single" w:sz="4" w:space="0" w:color="auto"/>
              <w:left w:val="single" w:sz="4" w:space="0" w:color="auto"/>
              <w:bottom w:val="single" w:sz="4" w:space="0" w:color="auto"/>
              <w:right w:val="single" w:sz="4" w:space="0" w:color="auto"/>
            </w:tcBorders>
            <w:vAlign w:val="bottom"/>
          </w:tcPr>
          <w:p w14:paraId="308A2CF8" w14:textId="77777777" w:rsidR="00CC4C68" w:rsidRPr="000B795F" w:rsidRDefault="00CC4C68" w:rsidP="00F12CEA">
            <w:pPr>
              <w:jc w:val="both"/>
              <w:rPr>
                <w:bCs/>
                <w:sz w:val="22"/>
                <w:szCs w:val="22"/>
              </w:rPr>
            </w:pPr>
            <w:r w:rsidRPr="000B795F">
              <w:rPr>
                <w:bCs/>
                <w:sz w:val="22"/>
                <w:szCs w:val="22"/>
              </w:rPr>
              <w:t>122,3</w:t>
            </w:r>
          </w:p>
        </w:tc>
      </w:tr>
      <w:tr w:rsidR="00CC4C68" w:rsidRPr="000B795F" w14:paraId="0E541F2C" w14:textId="77777777" w:rsidTr="00F12CEA">
        <w:trPr>
          <w:trHeight w:val="250"/>
        </w:trPr>
        <w:tc>
          <w:tcPr>
            <w:tcW w:w="2042" w:type="pct"/>
            <w:tcBorders>
              <w:top w:val="single" w:sz="4" w:space="0" w:color="auto"/>
              <w:left w:val="single" w:sz="4" w:space="0" w:color="auto"/>
              <w:bottom w:val="single" w:sz="4" w:space="0" w:color="auto"/>
              <w:right w:val="single" w:sz="4" w:space="0" w:color="auto"/>
            </w:tcBorders>
            <w:vAlign w:val="center"/>
          </w:tcPr>
          <w:p w14:paraId="5B9567B1" w14:textId="77777777" w:rsidR="00CC4C68" w:rsidRPr="000B795F" w:rsidRDefault="00CC4C68" w:rsidP="00F12CEA">
            <w:pPr>
              <w:jc w:val="both"/>
              <w:rPr>
                <w:bCs/>
                <w:sz w:val="22"/>
                <w:szCs w:val="22"/>
              </w:rPr>
            </w:pPr>
            <w:r w:rsidRPr="000B795F">
              <w:rPr>
                <w:bCs/>
                <w:sz w:val="22"/>
                <w:szCs w:val="22"/>
              </w:rPr>
              <w:t>Производительность труда в обрабатывающей промышленности, тыс. долл. США/чел</w:t>
            </w:r>
          </w:p>
        </w:tc>
        <w:tc>
          <w:tcPr>
            <w:tcW w:w="488" w:type="pct"/>
            <w:tcBorders>
              <w:top w:val="single" w:sz="4" w:space="0" w:color="auto"/>
              <w:left w:val="single" w:sz="4" w:space="0" w:color="auto"/>
              <w:bottom w:val="single" w:sz="4" w:space="0" w:color="auto"/>
              <w:right w:val="single" w:sz="4" w:space="0" w:color="auto"/>
            </w:tcBorders>
            <w:vAlign w:val="bottom"/>
          </w:tcPr>
          <w:p w14:paraId="0DB7EA63" w14:textId="77777777" w:rsidR="00CC4C68" w:rsidRPr="000B795F" w:rsidRDefault="00CC4C68" w:rsidP="00F12CEA">
            <w:pPr>
              <w:jc w:val="both"/>
              <w:rPr>
                <w:rFonts w:eastAsia="Calibri"/>
                <w:bCs/>
                <w:sz w:val="22"/>
                <w:szCs w:val="22"/>
              </w:rPr>
            </w:pPr>
            <w:r w:rsidRPr="000B795F">
              <w:rPr>
                <w:rFonts w:eastAsia="Calibri"/>
                <w:bCs/>
                <w:sz w:val="22"/>
                <w:szCs w:val="22"/>
              </w:rPr>
              <w:t>37,3</w:t>
            </w:r>
          </w:p>
        </w:tc>
        <w:tc>
          <w:tcPr>
            <w:tcW w:w="436" w:type="pct"/>
            <w:tcBorders>
              <w:top w:val="single" w:sz="4" w:space="0" w:color="auto"/>
              <w:left w:val="single" w:sz="4" w:space="0" w:color="auto"/>
              <w:bottom w:val="single" w:sz="4" w:space="0" w:color="auto"/>
              <w:right w:val="single" w:sz="4" w:space="0" w:color="auto"/>
            </w:tcBorders>
            <w:vAlign w:val="bottom"/>
          </w:tcPr>
          <w:p w14:paraId="63A79FD2" w14:textId="77777777" w:rsidR="00CC4C68" w:rsidRPr="000B795F" w:rsidRDefault="00CC4C68" w:rsidP="00F12CEA">
            <w:pPr>
              <w:jc w:val="both"/>
              <w:rPr>
                <w:rFonts w:eastAsia="Calibri"/>
                <w:bCs/>
                <w:sz w:val="22"/>
                <w:szCs w:val="22"/>
              </w:rPr>
            </w:pPr>
            <w:r w:rsidRPr="000B795F">
              <w:rPr>
                <w:rFonts w:eastAsia="Calibri"/>
                <w:bCs/>
                <w:sz w:val="22"/>
                <w:szCs w:val="22"/>
              </w:rPr>
              <w:t>29,4</w:t>
            </w:r>
          </w:p>
        </w:tc>
        <w:tc>
          <w:tcPr>
            <w:tcW w:w="436" w:type="pct"/>
            <w:tcBorders>
              <w:top w:val="single" w:sz="4" w:space="0" w:color="auto"/>
              <w:left w:val="single" w:sz="4" w:space="0" w:color="auto"/>
              <w:bottom w:val="single" w:sz="4" w:space="0" w:color="auto"/>
              <w:right w:val="single" w:sz="4" w:space="0" w:color="auto"/>
            </w:tcBorders>
            <w:vAlign w:val="bottom"/>
          </w:tcPr>
          <w:p w14:paraId="30AB1C8C" w14:textId="77777777" w:rsidR="00CC4C68" w:rsidRPr="000B795F" w:rsidRDefault="00CC4C68" w:rsidP="00F12CEA">
            <w:pPr>
              <w:jc w:val="both"/>
              <w:rPr>
                <w:rFonts w:eastAsia="Calibri"/>
                <w:bCs/>
                <w:sz w:val="22"/>
                <w:szCs w:val="22"/>
              </w:rPr>
            </w:pPr>
            <w:r w:rsidRPr="000B795F">
              <w:rPr>
                <w:rFonts w:eastAsia="Calibri"/>
                <w:bCs/>
                <w:sz w:val="22"/>
                <w:szCs w:val="22"/>
              </w:rPr>
              <w:t>41,0</w:t>
            </w:r>
          </w:p>
        </w:tc>
        <w:tc>
          <w:tcPr>
            <w:tcW w:w="436" w:type="pct"/>
            <w:tcBorders>
              <w:top w:val="single" w:sz="4" w:space="0" w:color="auto"/>
              <w:left w:val="single" w:sz="4" w:space="0" w:color="auto"/>
              <w:bottom w:val="single" w:sz="4" w:space="0" w:color="auto"/>
              <w:right w:val="single" w:sz="4" w:space="0" w:color="auto"/>
            </w:tcBorders>
            <w:vAlign w:val="bottom"/>
          </w:tcPr>
          <w:p w14:paraId="2F72F7DC" w14:textId="77777777" w:rsidR="00CC4C68" w:rsidRPr="000B795F" w:rsidRDefault="00CC4C68" w:rsidP="00F12CEA">
            <w:pPr>
              <w:jc w:val="both"/>
              <w:rPr>
                <w:rFonts w:eastAsia="Calibri"/>
                <w:bCs/>
                <w:sz w:val="22"/>
                <w:szCs w:val="22"/>
              </w:rPr>
            </w:pPr>
            <w:r w:rsidRPr="000B795F">
              <w:rPr>
                <w:rFonts w:eastAsia="Calibri"/>
                <w:bCs/>
                <w:sz w:val="22"/>
                <w:szCs w:val="22"/>
              </w:rPr>
              <w:t>52,7</w:t>
            </w:r>
          </w:p>
        </w:tc>
        <w:tc>
          <w:tcPr>
            <w:tcW w:w="513" w:type="pct"/>
            <w:tcBorders>
              <w:top w:val="single" w:sz="4" w:space="0" w:color="auto"/>
              <w:left w:val="single" w:sz="4" w:space="0" w:color="auto"/>
              <w:bottom w:val="single" w:sz="4" w:space="0" w:color="auto"/>
              <w:right w:val="single" w:sz="4" w:space="0" w:color="auto"/>
            </w:tcBorders>
            <w:vAlign w:val="bottom"/>
          </w:tcPr>
          <w:p w14:paraId="689B73F5" w14:textId="77777777" w:rsidR="00CC4C68" w:rsidRPr="000B795F" w:rsidRDefault="00CC4C68" w:rsidP="00F12CEA">
            <w:pPr>
              <w:jc w:val="both"/>
              <w:rPr>
                <w:rFonts w:eastAsia="Calibri"/>
                <w:bCs/>
                <w:sz w:val="22"/>
                <w:szCs w:val="22"/>
              </w:rPr>
            </w:pPr>
            <w:r w:rsidRPr="000B795F">
              <w:rPr>
                <w:rFonts w:eastAsia="Calibri"/>
                <w:bCs/>
                <w:sz w:val="22"/>
                <w:szCs w:val="22"/>
              </w:rPr>
              <w:t>61,8</w:t>
            </w:r>
          </w:p>
        </w:tc>
        <w:tc>
          <w:tcPr>
            <w:tcW w:w="649" w:type="pct"/>
            <w:tcBorders>
              <w:top w:val="single" w:sz="4" w:space="0" w:color="auto"/>
              <w:left w:val="single" w:sz="4" w:space="0" w:color="auto"/>
              <w:bottom w:val="single" w:sz="4" w:space="0" w:color="auto"/>
              <w:right w:val="single" w:sz="4" w:space="0" w:color="auto"/>
            </w:tcBorders>
            <w:vAlign w:val="bottom"/>
          </w:tcPr>
          <w:p w14:paraId="2EBC7152" w14:textId="77777777" w:rsidR="00CC4C68" w:rsidRPr="000B795F" w:rsidRDefault="00CC4C68" w:rsidP="00F12CEA">
            <w:pPr>
              <w:jc w:val="both"/>
              <w:rPr>
                <w:bCs/>
                <w:sz w:val="22"/>
                <w:szCs w:val="22"/>
              </w:rPr>
            </w:pPr>
            <w:r w:rsidRPr="000B795F">
              <w:rPr>
                <w:bCs/>
                <w:sz w:val="22"/>
                <w:szCs w:val="22"/>
              </w:rPr>
              <w:t>166,8</w:t>
            </w:r>
          </w:p>
        </w:tc>
      </w:tr>
      <w:tr w:rsidR="00CC4C68" w:rsidRPr="000B795F" w14:paraId="34710ACA" w14:textId="77777777" w:rsidTr="00F12CEA">
        <w:trPr>
          <w:trHeight w:val="167"/>
        </w:trPr>
        <w:tc>
          <w:tcPr>
            <w:tcW w:w="2042" w:type="pct"/>
            <w:tcBorders>
              <w:top w:val="single" w:sz="4" w:space="0" w:color="auto"/>
              <w:left w:val="single" w:sz="4" w:space="0" w:color="auto"/>
              <w:bottom w:val="single" w:sz="4" w:space="0" w:color="auto"/>
              <w:right w:val="single" w:sz="4" w:space="0" w:color="auto"/>
            </w:tcBorders>
            <w:vAlign w:val="center"/>
          </w:tcPr>
          <w:p w14:paraId="4C3CA04B" w14:textId="77777777" w:rsidR="00CC4C68" w:rsidRPr="000B795F" w:rsidRDefault="00CC4C68" w:rsidP="00F12CEA">
            <w:pPr>
              <w:jc w:val="both"/>
              <w:rPr>
                <w:bCs/>
                <w:sz w:val="22"/>
                <w:szCs w:val="22"/>
              </w:rPr>
            </w:pPr>
            <w:r w:rsidRPr="000B795F">
              <w:rPr>
                <w:bCs/>
                <w:sz w:val="22"/>
                <w:szCs w:val="22"/>
              </w:rPr>
              <w:t xml:space="preserve">Объем несырьевого (обработанного) экспорта, млрд </w:t>
            </w:r>
            <w:proofErr w:type="spellStart"/>
            <w:r w:rsidRPr="000B795F">
              <w:rPr>
                <w:bCs/>
                <w:sz w:val="22"/>
                <w:szCs w:val="22"/>
              </w:rPr>
              <w:t>долл</w:t>
            </w:r>
            <w:proofErr w:type="spellEnd"/>
            <w:r w:rsidRPr="000B795F">
              <w:rPr>
                <w:bCs/>
                <w:sz w:val="22"/>
                <w:szCs w:val="22"/>
              </w:rPr>
              <w:t xml:space="preserve"> США.</w:t>
            </w:r>
          </w:p>
        </w:tc>
        <w:tc>
          <w:tcPr>
            <w:tcW w:w="488" w:type="pct"/>
            <w:tcBorders>
              <w:top w:val="single" w:sz="4" w:space="0" w:color="auto"/>
              <w:left w:val="single" w:sz="4" w:space="0" w:color="auto"/>
              <w:bottom w:val="single" w:sz="4" w:space="0" w:color="auto"/>
              <w:right w:val="single" w:sz="4" w:space="0" w:color="auto"/>
            </w:tcBorders>
            <w:vAlign w:val="bottom"/>
          </w:tcPr>
          <w:p w14:paraId="4CDE37C2" w14:textId="77777777" w:rsidR="00CC4C68" w:rsidRPr="000B795F" w:rsidRDefault="00CC4C68" w:rsidP="00F12CEA">
            <w:pPr>
              <w:jc w:val="both"/>
              <w:rPr>
                <w:rFonts w:eastAsia="Calibri"/>
                <w:bCs/>
                <w:sz w:val="22"/>
                <w:szCs w:val="22"/>
              </w:rPr>
            </w:pPr>
            <w:r w:rsidRPr="000B795F">
              <w:rPr>
                <w:rFonts w:eastAsia="Calibri"/>
                <w:bCs/>
                <w:sz w:val="22"/>
                <w:szCs w:val="22"/>
              </w:rPr>
              <w:t>20,1</w:t>
            </w:r>
          </w:p>
        </w:tc>
        <w:tc>
          <w:tcPr>
            <w:tcW w:w="436" w:type="pct"/>
            <w:tcBorders>
              <w:top w:val="single" w:sz="4" w:space="0" w:color="auto"/>
              <w:left w:val="single" w:sz="4" w:space="0" w:color="auto"/>
              <w:bottom w:val="single" w:sz="4" w:space="0" w:color="auto"/>
              <w:right w:val="single" w:sz="4" w:space="0" w:color="auto"/>
            </w:tcBorders>
            <w:vAlign w:val="bottom"/>
          </w:tcPr>
          <w:p w14:paraId="040DF781" w14:textId="77777777" w:rsidR="00CC4C68" w:rsidRPr="000B795F" w:rsidRDefault="00CC4C68" w:rsidP="00F12CEA">
            <w:pPr>
              <w:jc w:val="both"/>
              <w:rPr>
                <w:rFonts w:eastAsia="Calibri"/>
                <w:bCs/>
                <w:sz w:val="22"/>
                <w:szCs w:val="22"/>
              </w:rPr>
            </w:pPr>
            <w:r w:rsidRPr="000B795F">
              <w:rPr>
                <w:rFonts w:eastAsia="Calibri"/>
                <w:bCs/>
                <w:sz w:val="22"/>
                <w:szCs w:val="22"/>
              </w:rPr>
              <w:t>12,0</w:t>
            </w:r>
          </w:p>
        </w:tc>
        <w:tc>
          <w:tcPr>
            <w:tcW w:w="436" w:type="pct"/>
            <w:tcBorders>
              <w:top w:val="single" w:sz="4" w:space="0" w:color="auto"/>
              <w:left w:val="single" w:sz="4" w:space="0" w:color="auto"/>
              <w:bottom w:val="single" w:sz="4" w:space="0" w:color="auto"/>
              <w:right w:val="single" w:sz="4" w:space="0" w:color="auto"/>
            </w:tcBorders>
            <w:vAlign w:val="bottom"/>
          </w:tcPr>
          <w:p w14:paraId="26DCC42A" w14:textId="77777777" w:rsidR="00CC4C68" w:rsidRPr="000B795F" w:rsidRDefault="00CC4C68" w:rsidP="00F12CEA">
            <w:pPr>
              <w:jc w:val="both"/>
              <w:rPr>
                <w:rFonts w:eastAsia="Calibri"/>
                <w:bCs/>
                <w:sz w:val="22"/>
                <w:szCs w:val="22"/>
              </w:rPr>
            </w:pPr>
            <w:r w:rsidRPr="000B795F">
              <w:rPr>
                <w:rFonts w:eastAsia="Calibri"/>
                <w:bCs/>
                <w:sz w:val="22"/>
                <w:szCs w:val="22"/>
              </w:rPr>
              <w:t>16,8</w:t>
            </w:r>
          </w:p>
        </w:tc>
        <w:tc>
          <w:tcPr>
            <w:tcW w:w="436" w:type="pct"/>
            <w:tcBorders>
              <w:top w:val="single" w:sz="4" w:space="0" w:color="auto"/>
              <w:left w:val="single" w:sz="4" w:space="0" w:color="auto"/>
              <w:bottom w:val="single" w:sz="4" w:space="0" w:color="auto"/>
              <w:right w:val="single" w:sz="4" w:space="0" w:color="auto"/>
            </w:tcBorders>
            <w:vAlign w:val="bottom"/>
          </w:tcPr>
          <w:p w14:paraId="7E5E50DA" w14:textId="77777777" w:rsidR="00CC4C68" w:rsidRPr="000B795F" w:rsidRDefault="00CC4C68" w:rsidP="00F12CEA">
            <w:pPr>
              <w:jc w:val="both"/>
              <w:rPr>
                <w:rFonts w:eastAsia="Calibri"/>
                <w:bCs/>
                <w:sz w:val="22"/>
                <w:szCs w:val="22"/>
              </w:rPr>
            </w:pPr>
            <w:r w:rsidRPr="000B795F">
              <w:rPr>
                <w:rFonts w:eastAsia="Calibri"/>
                <w:bCs/>
                <w:sz w:val="22"/>
                <w:szCs w:val="22"/>
              </w:rPr>
              <w:t>20,2</w:t>
            </w:r>
          </w:p>
        </w:tc>
        <w:tc>
          <w:tcPr>
            <w:tcW w:w="513" w:type="pct"/>
            <w:tcBorders>
              <w:top w:val="single" w:sz="4" w:space="0" w:color="auto"/>
              <w:left w:val="single" w:sz="4" w:space="0" w:color="auto"/>
              <w:bottom w:val="single" w:sz="4" w:space="0" w:color="auto"/>
              <w:right w:val="single" w:sz="4" w:space="0" w:color="auto"/>
            </w:tcBorders>
            <w:vAlign w:val="bottom"/>
          </w:tcPr>
          <w:p w14:paraId="0350B3FC" w14:textId="77777777" w:rsidR="00CC4C68" w:rsidRPr="000B795F" w:rsidRDefault="00CC4C68" w:rsidP="00F12CEA">
            <w:pPr>
              <w:jc w:val="both"/>
              <w:rPr>
                <w:rFonts w:eastAsia="Calibri"/>
                <w:bCs/>
                <w:sz w:val="22"/>
                <w:szCs w:val="22"/>
              </w:rPr>
            </w:pPr>
            <w:r w:rsidRPr="000B795F">
              <w:rPr>
                <w:rFonts w:eastAsia="Calibri"/>
                <w:bCs/>
                <w:sz w:val="22"/>
                <w:szCs w:val="22"/>
              </w:rPr>
              <w:t>21,4</w:t>
            </w:r>
          </w:p>
        </w:tc>
        <w:tc>
          <w:tcPr>
            <w:tcW w:w="649" w:type="pct"/>
            <w:tcBorders>
              <w:top w:val="single" w:sz="4" w:space="0" w:color="auto"/>
              <w:left w:val="single" w:sz="4" w:space="0" w:color="auto"/>
              <w:bottom w:val="single" w:sz="4" w:space="0" w:color="auto"/>
              <w:right w:val="single" w:sz="4" w:space="0" w:color="auto"/>
            </w:tcBorders>
            <w:vAlign w:val="bottom"/>
          </w:tcPr>
          <w:p w14:paraId="4A157688" w14:textId="77777777" w:rsidR="00CC4C68" w:rsidRPr="000B795F" w:rsidRDefault="00CC4C68" w:rsidP="00F12CEA">
            <w:pPr>
              <w:jc w:val="both"/>
              <w:rPr>
                <w:bCs/>
                <w:sz w:val="22"/>
                <w:szCs w:val="22"/>
              </w:rPr>
            </w:pPr>
            <w:r w:rsidRPr="000B795F">
              <w:rPr>
                <w:bCs/>
                <w:sz w:val="22"/>
                <w:szCs w:val="22"/>
              </w:rPr>
              <w:t>106,5</w:t>
            </w:r>
          </w:p>
        </w:tc>
      </w:tr>
      <w:tr w:rsidR="00CC4C68" w:rsidRPr="000B795F" w14:paraId="332CE7AE" w14:textId="77777777" w:rsidTr="00F12CEA">
        <w:trPr>
          <w:trHeight w:val="167"/>
        </w:trPr>
        <w:tc>
          <w:tcPr>
            <w:tcW w:w="2042" w:type="pct"/>
            <w:tcBorders>
              <w:top w:val="single" w:sz="4" w:space="0" w:color="auto"/>
              <w:left w:val="single" w:sz="4" w:space="0" w:color="auto"/>
              <w:bottom w:val="single" w:sz="4" w:space="0" w:color="auto"/>
              <w:right w:val="single" w:sz="4" w:space="0" w:color="auto"/>
            </w:tcBorders>
          </w:tcPr>
          <w:p w14:paraId="6FB7A785" w14:textId="77777777" w:rsidR="00CC4C68" w:rsidRPr="000B795F" w:rsidRDefault="00CC4C68" w:rsidP="00F12CEA">
            <w:pPr>
              <w:jc w:val="both"/>
              <w:rPr>
                <w:bCs/>
                <w:sz w:val="22"/>
                <w:szCs w:val="22"/>
              </w:rPr>
            </w:pPr>
            <w:r w:rsidRPr="000B795F">
              <w:rPr>
                <w:bCs/>
                <w:sz w:val="22"/>
                <w:szCs w:val="22"/>
              </w:rPr>
              <w:t>Доля инновационно-активных предприятий от числа действующих, %</w:t>
            </w:r>
          </w:p>
        </w:tc>
        <w:tc>
          <w:tcPr>
            <w:tcW w:w="488" w:type="pct"/>
            <w:tcBorders>
              <w:top w:val="single" w:sz="4" w:space="0" w:color="auto"/>
              <w:left w:val="single" w:sz="4" w:space="0" w:color="auto"/>
              <w:bottom w:val="single" w:sz="4" w:space="0" w:color="auto"/>
              <w:right w:val="single" w:sz="4" w:space="0" w:color="auto"/>
            </w:tcBorders>
            <w:vAlign w:val="bottom"/>
          </w:tcPr>
          <w:p w14:paraId="73A285BC" w14:textId="77777777" w:rsidR="00CC4C68" w:rsidRPr="000B795F" w:rsidRDefault="00CC4C68" w:rsidP="00F12CEA">
            <w:pPr>
              <w:jc w:val="both"/>
              <w:rPr>
                <w:rFonts w:eastAsia="Calibri"/>
                <w:bCs/>
                <w:sz w:val="22"/>
                <w:szCs w:val="22"/>
              </w:rPr>
            </w:pPr>
            <w:r w:rsidRPr="000B795F">
              <w:rPr>
                <w:rFonts w:eastAsia="Calibri"/>
                <w:bCs/>
                <w:sz w:val="22"/>
                <w:szCs w:val="22"/>
              </w:rPr>
              <w:t>4,0</w:t>
            </w:r>
          </w:p>
        </w:tc>
        <w:tc>
          <w:tcPr>
            <w:tcW w:w="436" w:type="pct"/>
            <w:tcBorders>
              <w:top w:val="single" w:sz="4" w:space="0" w:color="auto"/>
              <w:left w:val="single" w:sz="4" w:space="0" w:color="auto"/>
              <w:bottom w:val="single" w:sz="4" w:space="0" w:color="auto"/>
              <w:right w:val="single" w:sz="4" w:space="0" w:color="auto"/>
            </w:tcBorders>
            <w:vAlign w:val="bottom"/>
          </w:tcPr>
          <w:p w14:paraId="3CF17735" w14:textId="77777777" w:rsidR="00CC4C68" w:rsidRPr="000B795F" w:rsidRDefault="00CC4C68" w:rsidP="00F12CEA">
            <w:pPr>
              <w:jc w:val="both"/>
              <w:rPr>
                <w:rFonts w:eastAsia="Calibri"/>
                <w:bCs/>
                <w:sz w:val="22"/>
                <w:szCs w:val="22"/>
              </w:rPr>
            </w:pPr>
            <w:r w:rsidRPr="000B795F">
              <w:rPr>
                <w:rFonts w:eastAsia="Calibri"/>
                <w:bCs/>
                <w:sz w:val="22"/>
                <w:szCs w:val="22"/>
              </w:rPr>
              <w:t>4,0</w:t>
            </w:r>
          </w:p>
        </w:tc>
        <w:tc>
          <w:tcPr>
            <w:tcW w:w="436" w:type="pct"/>
            <w:tcBorders>
              <w:top w:val="single" w:sz="4" w:space="0" w:color="auto"/>
              <w:left w:val="single" w:sz="4" w:space="0" w:color="auto"/>
              <w:bottom w:val="single" w:sz="4" w:space="0" w:color="auto"/>
              <w:right w:val="single" w:sz="4" w:space="0" w:color="auto"/>
            </w:tcBorders>
            <w:vAlign w:val="bottom"/>
          </w:tcPr>
          <w:p w14:paraId="1676F41D" w14:textId="77777777" w:rsidR="00CC4C68" w:rsidRPr="000B795F" w:rsidRDefault="00CC4C68" w:rsidP="00F12CEA">
            <w:pPr>
              <w:jc w:val="both"/>
              <w:rPr>
                <w:rFonts w:eastAsia="Calibri"/>
                <w:bCs/>
                <w:sz w:val="22"/>
                <w:szCs w:val="22"/>
              </w:rPr>
            </w:pPr>
            <w:r w:rsidRPr="000B795F">
              <w:rPr>
                <w:rFonts w:eastAsia="Calibri"/>
                <w:bCs/>
                <w:sz w:val="22"/>
                <w:szCs w:val="22"/>
              </w:rPr>
              <w:t>4,3</w:t>
            </w:r>
          </w:p>
        </w:tc>
        <w:tc>
          <w:tcPr>
            <w:tcW w:w="436" w:type="pct"/>
            <w:tcBorders>
              <w:top w:val="single" w:sz="4" w:space="0" w:color="auto"/>
              <w:left w:val="single" w:sz="4" w:space="0" w:color="auto"/>
              <w:bottom w:val="single" w:sz="4" w:space="0" w:color="auto"/>
              <w:right w:val="single" w:sz="4" w:space="0" w:color="auto"/>
            </w:tcBorders>
            <w:vAlign w:val="bottom"/>
          </w:tcPr>
          <w:p w14:paraId="6C7FB76D" w14:textId="77777777" w:rsidR="00CC4C68" w:rsidRPr="000B795F" w:rsidRDefault="00CC4C68" w:rsidP="00F12CEA">
            <w:pPr>
              <w:jc w:val="both"/>
              <w:rPr>
                <w:rFonts w:eastAsia="Calibri"/>
                <w:bCs/>
                <w:sz w:val="22"/>
                <w:szCs w:val="22"/>
              </w:rPr>
            </w:pPr>
            <w:r w:rsidRPr="000B795F">
              <w:rPr>
                <w:rFonts w:eastAsia="Calibri"/>
                <w:bCs/>
                <w:sz w:val="22"/>
                <w:szCs w:val="22"/>
              </w:rPr>
              <w:t>7,1</w:t>
            </w:r>
          </w:p>
        </w:tc>
        <w:tc>
          <w:tcPr>
            <w:tcW w:w="513" w:type="pct"/>
            <w:tcBorders>
              <w:top w:val="single" w:sz="4" w:space="0" w:color="auto"/>
              <w:left w:val="single" w:sz="4" w:space="0" w:color="auto"/>
              <w:bottom w:val="single" w:sz="4" w:space="0" w:color="auto"/>
              <w:right w:val="single" w:sz="4" w:space="0" w:color="auto"/>
            </w:tcBorders>
            <w:vAlign w:val="bottom"/>
          </w:tcPr>
          <w:p w14:paraId="7AACC7F5" w14:textId="77777777" w:rsidR="00CC4C68" w:rsidRPr="000B795F" w:rsidRDefault="00CC4C68" w:rsidP="00F12CEA">
            <w:pPr>
              <w:jc w:val="both"/>
              <w:rPr>
                <w:rFonts w:eastAsia="Calibri"/>
                <w:bCs/>
                <w:sz w:val="22"/>
                <w:szCs w:val="22"/>
              </w:rPr>
            </w:pPr>
            <w:r w:rsidRPr="000B795F">
              <w:rPr>
                <w:rFonts w:eastAsia="Calibri"/>
                <w:bCs/>
                <w:sz w:val="22"/>
                <w:szCs w:val="22"/>
              </w:rPr>
              <w:t>7,6</w:t>
            </w:r>
          </w:p>
        </w:tc>
        <w:tc>
          <w:tcPr>
            <w:tcW w:w="649" w:type="pct"/>
            <w:tcBorders>
              <w:top w:val="single" w:sz="4" w:space="0" w:color="auto"/>
              <w:left w:val="single" w:sz="4" w:space="0" w:color="auto"/>
              <w:bottom w:val="single" w:sz="4" w:space="0" w:color="auto"/>
              <w:right w:val="single" w:sz="4" w:space="0" w:color="auto"/>
            </w:tcBorders>
            <w:vAlign w:val="bottom"/>
          </w:tcPr>
          <w:p w14:paraId="517FE97B" w14:textId="77777777" w:rsidR="00CC4C68" w:rsidRPr="000B795F" w:rsidRDefault="00CC4C68" w:rsidP="00F12CEA">
            <w:pPr>
              <w:jc w:val="both"/>
              <w:rPr>
                <w:bCs/>
                <w:sz w:val="22"/>
                <w:szCs w:val="22"/>
              </w:rPr>
            </w:pPr>
            <w:r w:rsidRPr="000B795F">
              <w:rPr>
                <w:bCs/>
                <w:sz w:val="22"/>
                <w:szCs w:val="22"/>
              </w:rPr>
              <w:t xml:space="preserve">3,6 </w:t>
            </w:r>
          </w:p>
        </w:tc>
      </w:tr>
      <w:tr w:rsidR="00CC4C68" w:rsidRPr="000B795F" w14:paraId="65D19A4C" w14:textId="77777777" w:rsidTr="00F12CEA">
        <w:trPr>
          <w:trHeight w:val="333"/>
        </w:trPr>
        <w:tc>
          <w:tcPr>
            <w:tcW w:w="2042" w:type="pct"/>
            <w:tcBorders>
              <w:top w:val="single" w:sz="4" w:space="0" w:color="auto"/>
              <w:left w:val="single" w:sz="4" w:space="0" w:color="auto"/>
              <w:bottom w:val="single" w:sz="4" w:space="0" w:color="auto"/>
              <w:right w:val="single" w:sz="4" w:space="0" w:color="auto"/>
            </w:tcBorders>
          </w:tcPr>
          <w:p w14:paraId="5CC0C970" w14:textId="77777777" w:rsidR="00CC4C68" w:rsidRPr="000B795F" w:rsidRDefault="00CC4C68" w:rsidP="00F12CEA">
            <w:pPr>
              <w:jc w:val="both"/>
              <w:rPr>
                <w:bCs/>
                <w:sz w:val="22"/>
                <w:szCs w:val="22"/>
              </w:rPr>
            </w:pPr>
            <w:r w:rsidRPr="000B795F">
              <w:rPr>
                <w:bCs/>
                <w:sz w:val="22"/>
                <w:szCs w:val="22"/>
              </w:rPr>
              <w:t>Объем инновационной продукции, млрд тенге</w:t>
            </w:r>
          </w:p>
        </w:tc>
        <w:tc>
          <w:tcPr>
            <w:tcW w:w="488" w:type="pct"/>
            <w:tcBorders>
              <w:top w:val="single" w:sz="4" w:space="0" w:color="auto"/>
              <w:left w:val="single" w:sz="4" w:space="0" w:color="auto"/>
              <w:bottom w:val="single" w:sz="4" w:space="0" w:color="auto"/>
              <w:right w:val="single" w:sz="4" w:space="0" w:color="auto"/>
            </w:tcBorders>
            <w:vAlign w:val="bottom"/>
          </w:tcPr>
          <w:p w14:paraId="6AFCB59C" w14:textId="77777777" w:rsidR="00CC4C68" w:rsidRPr="000B795F" w:rsidRDefault="00CC4C68" w:rsidP="00F12CEA">
            <w:pPr>
              <w:jc w:val="both"/>
              <w:rPr>
                <w:rFonts w:eastAsia="Calibri"/>
                <w:bCs/>
                <w:sz w:val="22"/>
                <w:szCs w:val="22"/>
              </w:rPr>
            </w:pPr>
            <w:r w:rsidRPr="000B795F">
              <w:rPr>
                <w:rFonts w:eastAsia="Calibri"/>
                <w:bCs/>
                <w:sz w:val="22"/>
                <w:szCs w:val="22"/>
              </w:rPr>
              <w:t>111,5</w:t>
            </w:r>
          </w:p>
        </w:tc>
        <w:tc>
          <w:tcPr>
            <w:tcW w:w="436" w:type="pct"/>
            <w:tcBorders>
              <w:top w:val="single" w:sz="4" w:space="0" w:color="auto"/>
              <w:left w:val="single" w:sz="4" w:space="0" w:color="auto"/>
              <w:bottom w:val="single" w:sz="4" w:space="0" w:color="auto"/>
              <w:right w:val="single" w:sz="4" w:space="0" w:color="auto"/>
            </w:tcBorders>
            <w:vAlign w:val="bottom"/>
          </w:tcPr>
          <w:p w14:paraId="7BD01F66" w14:textId="77777777" w:rsidR="00CC4C68" w:rsidRPr="000B795F" w:rsidRDefault="00CC4C68" w:rsidP="00F12CEA">
            <w:pPr>
              <w:jc w:val="both"/>
              <w:rPr>
                <w:rFonts w:eastAsia="Calibri"/>
                <w:bCs/>
                <w:sz w:val="22"/>
                <w:szCs w:val="22"/>
              </w:rPr>
            </w:pPr>
            <w:r w:rsidRPr="000B795F">
              <w:rPr>
                <w:rFonts w:eastAsia="Calibri"/>
                <w:bCs/>
                <w:sz w:val="22"/>
                <w:szCs w:val="22"/>
              </w:rPr>
              <w:t>82,6</w:t>
            </w:r>
          </w:p>
        </w:tc>
        <w:tc>
          <w:tcPr>
            <w:tcW w:w="436" w:type="pct"/>
            <w:tcBorders>
              <w:top w:val="single" w:sz="4" w:space="0" w:color="auto"/>
              <w:left w:val="single" w:sz="4" w:space="0" w:color="auto"/>
              <w:bottom w:val="single" w:sz="4" w:space="0" w:color="auto"/>
              <w:right w:val="single" w:sz="4" w:space="0" w:color="auto"/>
            </w:tcBorders>
            <w:vAlign w:val="bottom"/>
          </w:tcPr>
          <w:p w14:paraId="7A518476" w14:textId="77777777" w:rsidR="00CC4C68" w:rsidRPr="000B795F" w:rsidRDefault="00CC4C68" w:rsidP="00F12CEA">
            <w:pPr>
              <w:jc w:val="both"/>
              <w:rPr>
                <w:rFonts w:eastAsia="Calibri"/>
                <w:bCs/>
                <w:sz w:val="22"/>
                <w:szCs w:val="22"/>
              </w:rPr>
            </w:pPr>
            <w:r w:rsidRPr="000B795F">
              <w:rPr>
                <w:rFonts w:eastAsia="Calibri"/>
                <w:bCs/>
                <w:sz w:val="22"/>
                <w:szCs w:val="22"/>
              </w:rPr>
              <w:t>142,2</w:t>
            </w:r>
          </w:p>
        </w:tc>
        <w:tc>
          <w:tcPr>
            <w:tcW w:w="436" w:type="pct"/>
            <w:tcBorders>
              <w:top w:val="single" w:sz="4" w:space="0" w:color="auto"/>
              <w:left w:val="single" w:sz="4" w:space="0" w:color="auto"/>
              <w:bottom w:val="single" w:sz="4" w:space="0" w:color="auto"/>
              <w:right w:val="single" w:sz="4" w:space="0" w:color="auto"/>
            </w:tcBorders>
            <w:vAlign w:val="bottom"/>
          </w:tcPr>
          <w:p w14:paraId="24539F2D" w14:textId="77777777" w:rsidR="00CC4C68" w:rsidRPr="000B795F" w:rsidRDefault="00CC4C68" w:rsidP="00F12CEA">
            <w:pPr>
              <w:jc w:val="both"/>
              <w:rPr>
                <w:rFonts w:eastAsia="Calibri"/>
                <w:bCs/>
                <w:sz w:val="22"/>
                <w:szCs w:val="22"/>
              </w:rPr>
            </w:pPr>
            <w:r w:rsidRPr="000B795F">
              <w:rPr>
                <w:rFonts w:eastAsia="Calibri"/>
                <w:bCs/>
                <w:sz w:val="22"/>
                <w:szCs w:val="22"/>
              </w:rPr>
              <w:t>235,9</w:t>
            </w:r>
          </w:p>
        </w:tc>
        <w:tc>
          <w:tcPr>
            <w:tcW w:w="513" w:type="pct"/>
            <w:tcBorders>
              <w:top w:val="single" w:sz="4" w:space="0" w:color="auto"/>
              <w:left w:val="single" w:sz="4" w:space="0" w:color="auto"/>
              <w:bottom w:val="single" w:sz="4" w:space="0" w:color="auto"/>
              <w:right w:val="single" w:sz="4" w:space="0" w:color="auto"/>
            </w:tcBorders>
            <w:vAlign w:val="bottom"/>
          </w:tcPr>
          <w:p w14:paraId="370E4203" w14:textId="77777777" w:rsidR="00CC4C68" w:rsidRPr="000B795F" w:rsidRDefault="00CC4C68" w:rsidP="00F12CEA">
            <w:pPr>
              <w:jc w:val="both"/>
              <w:rPr>
                <w:rFonts w:eastAsia="Calibri"/>
                <w:bCs/>
                <w:sz w:val="22"/>
                <w:szCs w:val="22"/>
              </w:rPr>
            </w:pPr>
            <w:r w:rsidRPr="000B795F">
              <w:rPr>
                <w:rFonts w:eastAsia="Calibri"/>
                <w:bCs/>
                <w:sz w:val="22"/>
                <w:szCs w:val="22"/>
              </w:rPr>
              <w:t>379</w:t>
            </w:r>
          </w:p>
        </w:tc>
        <w:tc>
          <w:tcPr>
            <w:tcW w:w="649" w:type="pct"/>
            <w:tcBorders>
              <w:top w:val="single" w:sz="4" w:space="0" w:color="auto"/>
              <w:left w:val="single" w:sz="4" w:space="0" w:color="auto"/>
              <w:bottom w:val="single" w:sz="4" w:space="0" w:color="auto"/>
              <w:right w:val="single" w:sz="4" w:space="0" w:color="auto"/>
            </w:tcBorders>
            <w:vAlign w:val="bottom"/>
          </w:tcPr>
          <w:p w14:paraId="39073D90" w14:textId="77777777" w:rsidR="00CC4C68" w:rsidRPr="000B795F" w:rsidRDefault="00CC4C68" w:rsidP="00F12CEA">
            <w:pPr>
              <w:jc w:val="both"/>
              <w:rPr>
                <w:bCs/>
                <w:sz w:val="22"/>
                <w:szCs w:val="22"/>
              </w:rPr>
            </w:pPr>
            <w:r w:rsidRPr="000B795F">
              <w:rPr>
                <w:bCs/>
                <w:sz w:val="22"/>
                <w:szCs w:val="22"/>
              </w:rPr>
              <w:t>339,9</w:t>
            </w:r>
          </w:p>
        </w:tc>
      </w:tr>
      <w:tr w:rsidR="00CC4C68" w:rsidRPr="000B795F" w14:paraId="13306F77" w14:textId="77777777" w:rsidTr="00F12CEA">
        <w:trPr>
          <w:trHeight w:val="167"/>
        </w:trPr>
        <w:tc>
          <w:tcPr>
            <w:tcW w:w="2042" w:type="pct"/>
            <w:tcBorders>
              <w:top w:val="single" w:sz="4" w:space="0" w:color="auto"/>
              <w:left w:val="single" w:sz="4" w:space="0" w:color="auto"/>
              <w:bottom w:val="single" w:sz="4" w:space="0" w:color="auto"/>
              <w:right w:val="single" w:sz="4" w:space="0" w:color="auto"/>
            </w:tcBorders>
          </w:tcPr>
          <w:p w14:paraId="35193F69" w14:textId="77777777" w:rsidR="00CC4C68" w:rsidRPr="000B795F" w:rsidRDefault="00CC4C68" w:rsidP="00F12CEA">
            <w:pPr>
              <w:jc w:val="both"/>
              <w:rPr>
                <w:bCs/>
                <w:sz w:val="22"/>
                <w:szCs w:val="22"/>
              </w:rPr>
            </w:pPr>
            <w:r w:rsidRPr="000B795F">
              <w:rPr>
                <w:bCs/>
                <w:sz w:val="22"/>
                <w:szCs w:val="22"/>
              </w:rPr>
              <w:t xml:space="preserve">Энергоемкость ВВП, </w:t>
            </w:r>
            <w:proofErr w:type="spellStart"/>
            <w:r w:rsidRPr="000B795F">
              <w:rPr>
                <w:bCs/>
                <w:sz w:val="22"/>
                <w:szCs w:val="22"/>
              </w:rPr>
              <w:t>тнэ</w:t>
            </w:r>
            <w:proofErr w:type="spellEnd"/>
            <w:r w:rsidRPr="000B795F">
              <w:rPr>
                <w:bCs/>
                <w:sz w:val="22"/>
                <w:szCs w:val="22"/>
              </w:rPr>
              <w:t>/</w:t>
            </w:r>
            <w:proofErr w:type="spellStart"/>
            <w:proofErr w:type="gramStart"/>
            <w:r w:rsidRPr="000B795F">
              <w:rPr>
                <w:bCs/>
                <w:sz w:val="22"/>
                <w:szCs w:val="22"/>
              </w:rPr>
              <w:t>тыс.долл</w:t>
            </w:r>
            <w:proofErr w:type="gramEnd"/>
            <w:r w:rsidRPr="000B795F">
              <w:rPr>
                <w:bCs/>
                <w:sz w:val="22"/>
                <w:szCs w:val="22"/>
              </w:rPr>
              <w:t>.США</w:t>
            </w:r>
            <w:proofErr w:type="spellEnd"/>
            <w:r w:rsidRPr="000B795F">
              <w:rPr>
                <w:bCs/>
                <w:sz w:val="22"/>
                <w:szCs w:val="22"/>
              </w:rPr>
              <w:t xml:space="preserve"> в ценах 2000 г.</w:t>
            </w:r>
          </w:p>
        </w:tc>
        <w:tc>
          <w:tcPr>
            <w:tcW w:w="488" w:type="pct"/>
            <w:tcBorders>
              <w:top w:val="single" w:sz="4" w:space="0" w:color="auto"/>
              <w:left w:val="single" w:sz="4" w:space="0" w:color="auto"/>
              <w:bottom w:val="single" w:sz="4" w:space="0" w:color="auto"/>
              <w:right w:val="single" w:sz="4" w:space="0" w:color="auto"/>
            </w:tcBorders>
            <w:vAlign w:val="bottom"/>
          </w:tcPr>
          <w:p w14:paraId="24A264E8" w14:textId="77777777" w:rsidR="00CC4C68" w:rsidRPr="000B795F" w:rsidRDefault="00CC4C68" w:rsidP="00F12CEA">
            <w:pPr>
              <w:jc w:val="both"/>
              <w:rPr>
                <w:rFonts w:eastAsia="Calibri"/>
                <w:bCs/>
                <w:sz w:val="22"/>
                <w:szCs w:val="22"/>
              </w:rPr>
            </w:pPr>
            <w:r w:rsidRPr="000B795F">
              <w:rPr>
                <w:rFonts w:eastAsia="Calibri"/>
                <w:bCs/>
                <w:sz w:val="22"/>
                <w:szCs w:val="22"/>
              </w:rPr>
              <w:t>1,77</w:t>
            </w:r>
          </w:p>
        </w:tc>
        <w:tc>
          <w:tcPr>
            <w:tcW w:w="436" w:type="pct"/>
            <w:tcBorders>
              <w:top w:val="single" w:sz="4" w:space="0" w:color="auto"/>
              <w:left w:val="single" w:sz="4" w:space="0" w:color="auto"/>
              <w:bottom w:val="single" w:sz="4" w:space="0" w:color="auto"/>
              <w:right w:val="single" w:sz="4" w:space="0" w:color="auto"/>
            </w:tcBorders>
            <w:vAlign w:val="bottom"/>
          </w:tcPr>
          <w:p w14:paraId="0505CFE2" w14:textId="77777777" w:rsidR="00CC4C68" w:rsidRPr="000B795F" w:rsidRDefault="00CC4C68" w:rsidP="00F12CEA">
            <w:pPr>
              <w:jc w:val="both"/>
              <w:rPr>
                <w:rFonts w:eastAsia="Calibri"/>
                <w:bCs/>
                <w:sz w:val="22"/>
                <w:szCs w:val="22"/>
              </w:rPr>
            </w:pPr>
            <w:r w:rsidRPr="000B795F">
              <w:rPr>
                <w:rFonts w:eastAsia="Calibri"/>
                <w:bCs/>
                <w:sz w:val="22"/>
                <w:szCs w:val="22"/>
              </w:rPr>
              <w:t>1,48</w:t>
            </w:r>
          </w:p>
        </w:tc>
        <w:tc>
          <w:tcPr>
            <w:tcW w:w="436" w:type="pct"/>
            <w:tcBorders>
              <w:top w:val="single" w:sz="4" w:space="0" w:color="auto"/>
              <w:left w:val="single" w:sz="4" w:space="0" w:color="auto"/>
              <w:bottom w:val="single" w:sz="4" w:space="0" w:color="auto"/>
              <w:right w:val="single" w:sz="4" w:space="0" w:color="auto"/>
            </w:tcBorders>
            <w:vAlign w:val="bottom"/>
          </w:tcPr>
          <w:p w14:paraId="4B04BC09" w14:textId="77777777" w:rsidR="00CC4C68" w:rsidRPr="000B795F" w:rsidRDefault="00CC4C68" w:rsidP="00F12CEA">
            <w:pPr>
              <w:jc w:val="both"/>
              <w:rPr>
                <w:rFonts w:eastAsia="Calibri"/>
                <w:bCs/>
                <w:sz w:val="22"/>
                <w:szCs w:val="22"/>
              </w:rPr>
            </w:pPr>
            <w:r w:rsidRPr="000B795F">
              <w:rPr>
                <w:rFonts w:eastAsia="Calibri"/>
                <w:bCs/>
                <w:sz w:val="22"/>
                <w:szCs w:val="22"/>
              </w:rPr>
              <w:t>1,84</w:t>
            </w:r>
          </w:p>
        </w:tc>
        <w:tc>
          <w:tcPr>
            <w:tcW w:w="436" w:type="pct"/>
            <w:tcBorders>
              <w:top w:val="single" w:sz="4" w:space="0" w:color="auto"/>
              <w:left w:val="single" w:sz="4" w:space="0" w:color="auto"/>
              <w:bottom w:val="single" w:sz="4" w:space="0" w:color="auto"/>
              <w:right w:val="single" w:sz="4" w:space="0" w:color="auto"/>
            </w:tcBorders>
            <w:vAlign w:val="bottom"/>
          </w:tcPr>
          <w:p w14:paraId="0FAE822F" w14:textId="77777777" w:rsidR="00CC4C68" w:rsidRPr="000B795F" w:rsidRDefault="00CC4C68" w:rsidP="00F12CEA">
            <w:pPr>
              <w:jc w:val="both"/>
              <w:rPr>
                <w:rFonts w:eastAsia="Calibri"/>
                <w:bCs/>
                <w:sz w:val="22"/>
                <w:szCs w:val="22"/>
              </w:rPr>
            </w:pPr>
            <w:r w:rsidRPr="000B795F">
              <w:rPr>
                <w:rFonts w:eastAsia="Calibri"/>
                <w:bCs/>
                <w:sz w:val="22"/>
                <w:szCs w:val="22"/>
              </w:rPr>
              <w:t>1,73</w:t>
            </w:r>
          </w:p>
        </w:tc>
        <w:tc>
          <w:tcPr>
            <w:tcW w:w="513" w:type="pct"/>
            <w:tcBorders>
              <w:top w:val="single" w:sz="4" w:space="0" w:color="auto"/>
              <w:left w:val="single" w:sz="4" w:space="0" w:color="auto"/>
              <w:bottom w:val="single" w:sz="4" w:space="0" w:color="auto"/>
              <w:right w:val="single" w:sz="4" w:space="0" w:color="auto"/>
            </w:tcBorders>
            <w:vAlign w:val="bottom"/>
          </w:tcPr>
          <w:p w14:paraId="34C5018B" w14:textId="77777777" w:rsidR="00CC4C68" w:rsidRPr="000B795F" w:rsidRDefault="00CC4C68" w:rsidP="00F12CEA">
            <w:pPr>
              <w:jc w:val="both"/>
              <w:rPr>
                <w:rFonts w:eastAsia="Calibri"/>
                <w:bCs/>
                <w:sz w:val="22"/>
                <w:szCs w:val="22"/>
              </w:rPr>
            </w:pPr>
            <w:r w:rsidRPr="000B795F">
              <w:rPr>
                <w:rFonts w:eastAsia="Calibri"/>
                <w:bCs/>
                <w:sz w:val="22"/>
                <w:szCs w:val="22"/>
              </w:rPr>
              <w:t>1,53</w:t>
            </w:r>
          </w:p>
        </w:tc>
        <w:tc>
          <w:tcPr>
            <w:tcW w:w="649" w:type="pct"/>
            <w:tcBorders>
              <w:top w:val="single" w:sz="4" w:space="0" w:color="auto"/>
              <w:left w:val="single" w:sz="4" w:space="0" w:color="auto"/>
              <w:bottom w:val="single" w:sz="4" w:space="0" w:color="auto"/>
              <w:right w:val="single" w:sz="4" w:space="0" w:color="auto"/>
            </w:tcBorders>
            <w:vAlign w:val="bottom"/>
          </w:tcPr>
          <w:p w14:paraId="04D8FB61" w14:textId="77777777" w:rsidR="00CC4C68" w:rsidRPr="000B795F" w:rsidRDefault="00CC4C68" w:rsidP="00F12CEA">
            <w:pPr>
              <w:jc w:val="both"/>
              <w:rPr>
                <w:bCs/>
                <w:sz w:val="22"/>
                <w:szCs w:val="22"/>
              </w:rPr>
            </w:pPr>
            <w:r w:rsidRPr="000B795F">
              <w:rPr>
                <w:bCs/>
                <w:sz w:val="22"/>
                <w:szCs w:val="22"/>
              </w:rPr>
              <w:t>86,4</w:t>
            </w:r>
          </w:p>
        </w:tc>
      </w:tr>
    </w:tbl>
    <w:p w14:paraId="4430D6B0" w14:textId="77777777" w:rsidR="00CC4C68" w:rsidRPr="000B795F" w:rsidRDefault="00CC4C68" w:rsidP="00CC4C68">
      <w:pPr>
        <w:jc w:val="both"/>
        <w:rPr>
          <w:rFonts w:eastAsia="Calibri"/>
          <w:sz w:val="22"/>
          <w:szCs w:val="22"/>
        </w:rPr>
      </w:pPr>
      <w:r w:rsidRPr="000B795F">
        <w:rPr>
          <w:rFonts w:eastAsia="Calibri"/>
          <w:sz w:val="22"/>
          <w:szCs w:val="22"/>
        </w:rPr>
        <w:t>Источник: Агентство РК по статистике</w:t>
      </w:r>
    </w:p>
    <w:p w14:paraId="20A8E918" w14:textId="77777777" w:rsidR="00CC4C68" w:rsidRPr="000B795F" w:rsidRDefault="00CC4C68" w:rsidP="00CC4C68">
      <w:pPr>
        <w:pStyle w:val="book"/>
        <w:shd w:val="clear" w:color="auto" w:fill="FDFEFF"/>
        <w:jc w:val="both"/>
        <w:rPr>
          <w:i/>
          <w:iCs/>
          <w:sz w:val="22"/>
          <w:szCs w:val="22"/>
        </w:rPr>
      </w:pPr>
    </w:p>
    <w:p w14:paraId="0B02F851" w14:textId="77777777" w:rsidR="00CC4C68" w:rsidRPr="000B795F" w:rsidRDefault="00CC4C68" w:rsidP="00CC4C68">
      <w:pPr>
        <w:pStyle w:val="book"/>
        <w:shd w:val="clear" w:color="auto" w:fill="FDFEFF"/>
        <w:jc w:val="both"/>
        <w:rPr>
          <w:sz w:val="22"/>
          <w:szCs w:val="22"/>
        </w:rPr>
      </w:pPr>
      <w:r w:rsidRPr="000B795F">
        <w:rPr>
          <w:i/>
          <w:iCs/>
          <w:sz w:val="22"/>
          <w:szCs w:val="22"/>
        </w:rPr>
        <w:t>Налоги воздействуют на капитал на всех стадиях его кругооборота</w:t>
      </w:r>
      <w:r w:rsidRPr="000B795F">
        <w:rPr>
          <w:sz w:val="22"/>
          <w:szCs w:val="22"/>
        </w:rPr>
        <w:t xml:space="preserve">. При выполнении своих функций они оказывают влияние на инвестиционные процессы, ускоряя или замедляя их. Система налогового регулирования воздействует на инвестиционный спрос и предложение через механизмы косвенного налогообложения и налогового льготирования инвестиционного характера. Мировой </w:t>
      </w:r>
      <w:r w:rsidRPr="000B795F">
        <w:rPr>
          <w:sz w:val="22"/>
          <w:szCs w:val="22"/>
        </w:rPr>
        <w:lastRenderedPageBreak/>
        <w:t>практикой накоплен богатый опыт регулирования источников инвестиций путем применения разнообразных налоговых преференций при налогообложении доходов компаний. Это позволяет государству контролировать массовый спрос и предложение не только товаров, но и капиталов, поскольку доход является основой спроса и конечным результатом функционирования капитала.</w:t>
      </w:r>
    </w:p>
    <w:p w14:paraId="0BFCF08E" w14:textId="77777777" w:rsidR="00CC4C68" w:rsidRPr="000B795F" w:rsidRDefault="00CC4C68" w:rsidP="00CC4C68">
      <w:pPr>
        <w:ind w:firstLine="709"/>
        <w:jc w:val="both"/>
        <w:rPr>
          <w:sz w:val="22"/>
          <w:szCs w:val="22"/>
        </w:rPr>
      </w:pPr>
      <w:r w:rsidRPr="000B795F">
        <w:rPr>
          <w:sz w:val="22"/>
          <w:szCs w:val="22"/>
        </w:rPr>
        <w:t>Рассмотрим, как осуществляется налоговое регулирование в этом направлении в Казахстане. Налоговым законодательством предусмотрен упрощенный порядок применения инвестиционных налоговых преференций (далее – ИНП). При этом ИНП применяются по выбору налогоплательщика в соответствии с Налоговым кодексом и заключаются в отнесении на вычеты стоимости объектов преференций и (или) последующих расходов на реконструкцию, модернизацию единовременно либо в течение трех лет с момента ввода в эксплуатацию объектов преференций.</w:t>
      </w:r>
    </w:p>
    <w:p w14:paraId="01A522C0" w14:textId="77777777" w:rsidR="00CC4C68" w:rsidRPr="000B795F" w:rsidRDefault="00CC4C68" w:rsidP="00CC4C68">
      <w:pPr>
        <w:tabs>
          <w:tab w:val="left" w:pos="612"/>
        </w:tabs>
        <w:autoSpaceDE w:val="0"/>
        <w:autoSpaceDN w:val="0"/>
        <w:adjustRightInd w:val="0"/>
        <w:ind w:firstLine="709"/>
        <w:jc w:val="both"/>
        <w:rPr>
          <w:bCs/>
          <w:sz w:val="22"/>
          <w:szCs w:val="22"/>
        </w:rPr>
      </w:pPr>
      <w:r w:rsidRPr="000B795F">
        <w:rPr>
          <w:bCs/>
          <w:sz w:val="22"/>
          <w:szCs w:val="22"/>
        </w:rPr>
        <w:t xml:space="preserve">При соблюдении определенных условий, предусмотренных </w:t>
      </w:r>
      <w:r w:rsidRPr="000B795F">
        <w:rPr>
          <w:sz w:val="22"/>
          <w:szCs w:val="22"/>
        </w:rPr>
        <w:t>Налоговым кодексом</w:t>
      </w:r>
      <w:r w:rsidRPr="000B795F">
        <w:rPr>
          <w:bCs/>
          <w:sz w:val="22"/>
          <w:szCs w:val="22"/>
        </w:rPr>
        <w:t xml:space="preserve"> для организаций, осуществляющих деятельность на территориях специальных экономических зон, в случае осуществления видов деятельности, отвечающих целям создания специальных экономических зон, предусмотрено освобождение от корпоративного подоходного налога, налога на имущество, земельного налога и платы за право пользование земельными участками.</w:t>
      </w:r>
    </w:p>
    <w:p w14:paraId="3732C4D7" w14:textId="77777777" w:rsidR="00CC4C68" w:rsidRPr="000B795F" w:rsidRDefault="00CC4C68" w:rsidP="00CC4C68">
      <w:pPr>
        <w:ind w:firstLine="709"/>
        <w:jc w:val="both"/>
        <w:rPr>
          <w:bCs/>
          <w:sz w:val="22"/>
          <w:szCs w:val="22"/>
        </w:rPr>
      </w:pPr>
      <w:r w:rsidRPr="000B795F">
        <w:rPr>
          <w:bCs/>
          <w:sz w:val="22"/>
          <w:szCs w:val="22"/>
        </w:rPr>
        <w:t xml:space="preserve">Также предусмотрено обложение НДС по нулевой ставке оборотов по реализации товаров на территории специальной экономической зоны, полностью потребляемых при осуществлении деятельности, отвечающей целям создания специальных экономических зон. </w:t>
      </w:r>
    </w:p>
    <w:p w14:paraId="31B64293" w14:textId="77777777" w:rsidR="00CC4C68" w:rsidRPr="000B795F" w:rsidRDefault="00CC4C68" w:rsidP="00CC4C68">
      <w:pPr>
        <w:ind w:firstLine="709"/>
        <w:jc w:val="both"/>
        <w:rPr>
          <w:bCs/>
          <w:sz w:val="22"/>
          <w:szCs w:val="22"/>
        </w:rPr>
      </w:pPr>
      <w:r w:rsidRPr="000B795F">
        <w:rPr>
          <w:bCs/>
          <w:sz w:val="22"/>
          <w:szCs w:val="22"/>
        </w:rPr>
        <w:t>Кроме того, для организаций, осуществляющих деятельность на территории специальной экономической зоны «Парк информационных технологий», предусмотрено освобождение от уплаты социального налога при соблюдении определенных условий.</w:t>
      </w:r>
    </w:p>
    <w:p w14:paraId="3824D7DF" w14:textId="77777777" w:rsidR="00CC4C68" w:rsidRPr="000B795F" w:rsidRDefault="00CC4C68" w:rsidP="00CC4C68">
      <w:pPr>
        <w:ind w:firstLine="709"/>
        <w:jc w:val="both"/>
        <w:rPr>
          <w:sz w:val="22"/>
          <w:szCs w:val="22"/>
        </w:rPr>
      </w:pPr>
      <w:r w:rsidRPr="000B795F">
        <w:rPr>
          <w:sz w:val="22"/>
          <w:szCs w:val="22"/>
        </w:rPr>
        <w:t>Особый порядок налогообложения действует до 2015 года и для отдельных категорий юридических лиц, осуществляющих деятельность в области развития информационных технологий за пределами специальной экономической зоны.</w:t>
      </w:r>
    </w:p>
    <w:p w14:paraId="787A5103" w14:textId="77777777" w:rsidR="00CC4C68" w:rsidRPr="000B795F" w:rsidRDefault="00CC4C68" w:rsidP="00CC4C68">
      <w:pPr>
        <w:pStyle w:val="book"/>
        <w:shd w:val="clear" w:color="auto" w:fill="FDFEFF"/>
        <w:jc w:val="both"/>
        <w:rPr>
          <w:sz w:val="22"/>
          <w:szCs w:val="22"/>
        </w:rPr>
      </w:pPr>
      <w:r w:rsidRPr="000B795F">
        <w:rPr>
          <w:sz w:val="22"/>
          <w:szCs w:val="22"/>
        </w:rPr>
        <w:t xml:space="preserve">Воздействие налогов на экономику происходит не прямо, а опосредованно. Как инструменты распределения и перераспределения ВВП и НД, они оказывают свое влияние с некоторым опозданием от действующих тенденций изменения пропорций и темпов экономического роста. Принцип обратной связи налогов может иметь свою эффективность только при условии своевременного принятия соответствующих мер налогового регулирования. Тем не менее, </w:t>
      </w:r>
      <w:r w:rsidRPr="000B795F">
        <w:rPr>
          <w:i/>
          <w:iCs/>
          <w:sz w:val="22"/>
          <w:szCs w:val="22"/>
        </w:rPr>
        <w:t xml:space="preserve">налоги выступают центральным звеном государственных программ </w:t>
      </w:r>
      <w:proofErr w:type="spellStart"/>
      <w:r w:rsidRPr="000B795F">
        <w:rPr>
          <w:i/>
          <w:iCs/>
          <w:sz w:val="22"/>
          <w:szCs w:val="22"/>
        </w:rPr>
        <w:t>антициклического</w:t>
      </w:r>
      <w:proofErr w:type="spellEnd"/>
      <w:r w:rsidRPr="000B795F">
        <w:rPr>
          <w:i/>
          <w:iCs/>
          <w:sz w:val="22"/>
          <w:szCs w:val="22"/>
        </w:rPr>
        <w:t xml:space="preserve"> развития экономики.</w:t>
      </w:r>
      <w:r w:rsidRPr="000B795F">
        <w:rPr>
          <w:sz w:val="22"/>
          <w:szCs w:val="22"/>
        </w:rPr>
        <w:t xml:space="preserve"> В целях выравнивания темпов экономического роста многие страны используют налоговый механизм для </w:t>
      </w:r>
      <w:proofErr w:type="spellStart"/>
      <w:r w:rsidRPr="000B795F">
        <w:rPr>
          <w:sz w:val="22"/>
          <w:szCs w:val="22"/>
        </w:rPr>
        <w:t>антицикличного</w:t>
      </w:r>
      <w:proofErr w:type="spellEnd"/>
      <w:r w:rsidRPr="000B795F">
        <w:rPr>
          <w:sz w:val="22"/>
          <w:szCs w:val="22"/>
        </w:rPr>
        <w:t xml:space="preserve"> регулирования спроса и предложения (их стимулирования в период депрессии и ограничения в период предельного экономического подъема). Поскольку налоговые поступления следуют за объемами и темпами роста производства с некоторым опозданием, постольку автоматический рост налогов может привести к депрессии в производстве и даже к его спаду. В этой ситуации принимаются меры к снижению налогов с целью повышения стимулов к инвестированию.</w:t>
      </w:r>
    </w:p>
    <w:p w14:paraId="0782D97A" w14:textId="77777777" w:rsidR="00CC4C68" w:rsidRPr="000B795F" w:rsidRDefault="00CC4C68" w:rsidP="00CC4C68">
      <w:pPr>
        <w:pStyle w:val="book"/>
        <w:shd w:val="clear" w:color="auto" w:fill="FDFEFF"/>
        <w:jc w:val="both"/>
        <w:rPr>
          <w:sz w:val="22"/>
          <w:szCs w:val="22"/>
        </w:rPr>
      </w:pPr>
      <w:r w:rsidRPr="000B795F">
        <w:rPr>
          <w:i/>
          <w:iCs/>
          <w:sz w:val="22"/>
          <w:szCs w:val="22"/>
        </w:rPr>
        <w:t>Налоговое регулирование призвано активно влиять на структуру общественного воспроизводства.</w:t>
      </w:r>
      <w:r w:rsidRPr="000B795F">
        <w:rPr>
          <w:sz w:val="22"/>
          <w:szCs w:val="22"/>
        </w:rPr>
        <w:t xml:space="preserve"> С помощью налогового механизма государство создает необходимые условия для ускоренного накопления капитала в наиболее приоритетных отраслях, определяющих научно-технический прогресс, а также в малорентабельных, но жизненно необходимых сферах производства и услуг. В мировой практике нередки случаи, когда налоговые льготы предоставляются преимущественно тем фирмам, которые действуют в рамках принятой государственной экономической программы.</w:t>
      </w:r>
    </w:p>
    <w:p w14:paraId="41DDDAB0" w14:textId="77777777" w:rsidR="00CC4C68" w:rsidRPr="000B795F" w:rsidRDefault="00CC4C68" w:rsidP="00CC4C68">
      <w:pPr>
        <w:pStyle w:val="book"/>
        <w:shd w:val="clear" w:color="auto" w:fill="FDFEFF"/>
        <w:jc w:val="both"/>
        <w:rPr>
          <w:sz w:val="22"/>
          <w:szCs w:val="22"/>
        </w:rPr>
      </w:pPr>
      <w:r w:rsidRPr="000B795F">
        <w:rPr>
          <w:sz w:val="22"/>
          <w:szCs w:val="22"/>
        </w:rPr>
        <w:t>Казахстан встал на путь инновационного развития. В стране созданы все условия для роста базовых отраслей промышленности. В Стратегии развития республики, которую изложил в своем послании Президент Н. Назарбаев, предусмотрено, что Казахстан должен войти в число развитых стран мира.</w:t>
      </w:r>
    </w:p>
    <w:p w14:paraId="771B62B5" w14:textId="77777777" w:rsidR="00CC4C68" w:rsidRPr="000B795F" w:rsidRDefault="00CC4C68" w:rsidP="00CC4C68">
      <w:pPr>
        <w:spacing w:line="240" w:lineRule="atLeast"/>
        <w:ind w:firstLine="709"/>
        <w:jc w:val="both"/>
        <w:rPr>
          <w:sz w:val="22"/>
          <w:szCs w:val="22"/>
        </w:rPr>
      </w:pPr>
      <w:r w:rsidRPr="000B795F">
        <w:rPr>
          <w:sz w:val="22"/>
          <w:szCs w:val="22"/>
        </w:rPr>
        <w:t xml:space="preserve">В 2010 г. была утверждена Государственная программа по форсированному индустриально-инновационному развитию Республики Казахстан на </w:t>
      </w:r>
      <w:proofErr w:type="gramStart"/>
      <w:r w:rsidRPr="000B795F">
        <w:rPr>
          <w:sz w:val="22"/>
          <w:szCs w:val="22"/>
        </w:rPr>
        <w:t>2010-2014</w:t>
      </w:r>
      <w:proofErr w:type="gramEnd"/>
      <w:r w:rsidRPr="000B795F">
        <w:rPr>
          <w:sz w:val="22"/>
          <w:szCs w:val="22"/>
        </w:rPr>
        <w:t xml:space="preserve"> гг. Принятие нового курса на индустриализацию с постепенным переходом на инновационный путь развития стало масштабным событием в истории страны. Главная цель данной программы – обеспечить диверсификацию и повышение конкурентоспособности экономики Казахстана в долгосрочном периоде с усилением ее социальной эффективности. В результате за 2,5 года реализации Программы индустриализации в республике была проделана колоссальная работа: открыты 443 новых производства, благодаря которым структура экономики страны стала качественно меняться. Теперь в Казахстане выпускают совершенно новые продукты, ранее никогда не производимые. Индустриализация создала все </w:t>
      </w:r>
      <w:r w:rsidRPr="000B795F">
        <w:rPr>
          <w:sz w:val="22"/>
          <w:szCs w:val="22"/>
        </w:rPr>
        <w:lastRenderedPageBreak/>
        <w:t>условия для роста базовых отраслей промышленности. Кроме того, заметно возросла производительность труда в стране: только в обрабатывающей промышленности данный показатель вырос на треть.</w:t>
      </w:r>
    </w:p>
    <w:p w14:paraId="70A6B29C" w14:textId="77777777" w:rsidR="00CC4C68" w:rsidRPr="000B795F" w:rsidRDefault="00CC4C68" w:rsidP="00CC4C68">
      <w:pPr>
        <w:spacing w:line="240" w:lineRule="atLeast"/>
        <w:ind w:firstLine="709"/>
        <w:jc w:val="both"/>
        <w:rPr>
          <w:sz w:val="22"/>
          <w:szCs w:val="22"/>
        </w:rPr>
      </w:pPr>
      <w:r w:rsidRPr="000B795F">
        <w:rPr>
          <w:sz w:val="22"/>
          <w:szCs w:val="22"/>
        </w:rPr>
        <w:t>Впервые в 2013 году были внедрены меры налогового стимулирования вклада компаний и недропользователей в НИОКР. Среди них - вычеты из налогооблагаемой базы расходов на научно-исследовательские и опытно-конструкторские работы в размере 50% и прямой налог на недропользователей в размере 1% от совокупного годового дохода на научно-исследовательские и опытно-конструкторские работы. Однако при этом требуется соблюдение следующих условий:</w:t>
      </w:r>
    </w:p>
    <w:p w14:paraId="461F0A6D" w14:textId="77777777" w:rsidR="00CC4C68" w:rsidRPr="000B795F" w:rsidRDefault="00CC4C68" w:rsidP="00CC4C68">
      <w:pPr>
        <w:spacing w:line="240" w:lineRule="atLeast"/>
        <w:ind w:firstLine="709"/>
        <w:jc w:val="both"/>
        <w:rPr>
          <w:sz w:val="22"/>
          <w:szCs w:val="22"/>
        </w:rPr>
      </w:pPr>
      <w:r w:rsidRPr="000B795F">
        <w:rPr>
          <w:sz w:val="22"/>
          <w:szCs w:val="22"/>
        </w:rPr>
        <w:t>1.НИР, НТР и ОРК должны иметь внедренные на территории РК результаты</w:t>
      </w:r>
    </w:p>
    <w:p w14:paraId="2FDFC5E6" w14:textId="77777777" w:rsidR="00CC4C68" w:rsidRPr="000B795F" w:rsidRDefault="00CC4C68" w:rsidP="00CC4C68">
      <w:pPr>
        <w:spacing w:line="240" w:lineRule="atLeast"/>
        <w:ind w:firstLine="709"/>
        <w:jc w:val="both"/>
        <w:rPr>
          <w:sz w:val="22"/>
          <w:szCs w:val="22"/>
        </w:rPr>
      </w:pPr>
      <w:r w:rsidRPr="000B795F">
        <w:rPr>
          <w:sz w:val="22"/>
          <w:szCs w:val="22"/>
        </w:rPr>
        <w:t>2.На результаты НИР, НТР и ОРК должен иметься соответствующий документ (патент, сертификат), выданный уполномоченным государственным органом в сфере изобретений, полезных моделей, промышленных образцов</w:t>
      </w:r>
    </w:p>
    <w:p w14:paraId="36B7DB47" w14:textId="77777777" w:rsidR="00CC4C68" w:rsidRPr="000B795F" w:rsidRDefault="00CC4C68" w:rsidP="00CC4C68">
      <w:pPr>
        <w:spacing w:line="240" w:lineRule="atLeast"/>
        <w:ind w:firstLine="709"/>
        <w:jc w:val="both"/>
        <w:rPr>
          <w:sz w:val="22"/>
          <w:szCs w:val="22"/>
        </w:rPr>
      </w:pPr>
      <w:r w:rsidRPr="000B795F">
        <w:rPr>
          <w:sz w:val="22"/>
          <w:szCs w:val="22"/>
        </w:rPr>
        <w:t xml:space="preserve">3. Работы, на которые понесены налогоплательщиком </w:t>
      </w:r>
      <w:proofErr w:type="gramStart"/>
      <w:r w:rsidRPr="000B795F">
        <w:rPr>
          <w:sz w:val="22"/>
          <w:szCs w:val="22"/>
        </w:rPr>
        <w:t>расходы ,</w:t>
      </w:r>
      <w:proofErr w:type="gramEnd"/>
      <w:r w:rsidRPr="000B795F">
        <w:rPr>
          <w:sz w:val="22"/>
          <w:szCs w:val="22"/>
        </w:rPr>
        <w:t xml:space="preserve"> должны быть признаны по заключению уполномоченного государственного органа в области науки научно-исследовательским, научно-техническими и (или ) опытно-конструкторскими </w:t>
      </w:r>
    </w:p>
    <w:p w14:paraId="4663FAA6" w14:textId="77777777" w:rsidR="00CC4C68" w:rsidRPr="000B795F" w:rsidRDefault="00CC4C68" w:rsidP="00CC4C68">
      <w:pPr>
        <w:ind w:firstLine="400"/>
        <w:jc w:val="both"/>
        <w:rPr>
          <w:rStyle w:val="s0"/>
          <w:sz w:val="22"/>
          <w:szCs w:val="22"/>
        </w:rPr>
      </w:pPr>
      <w:r w:rsidRPr="000B795F">
        <w:rPr>
          <w:sz w:val="22"/>
          <w:szCs w:val="22"/>
        </w:rPr>
        <w:t>С 1 января 2013 года в статье 387 НК введен п.3-2, согласно которому т</w:t>
      </w:r>
      <w:r w:rsidRPr="000B795F">
        <w:rPr>
          <w:rStyle w:val="s0"/>
          <w:sz w:val="22"/>
          <w:szCs w:val="22"/>
        </w:rPr>
        <w:t>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законодательным актом Республики Казахстан о государственной поддержке индустриально-инновационной деятельности, к соответствующим ставкам земельного налога применяют коэффициент 0,1.</w:t>
      </w:r>
    </w:p>
    <w:p w14:paraId="04939391" w14:textId="77777777" w:rsidR="00CC4C68" w:rsidRPr="000B795F" w:rsidRDefault="00CC4C68" w:rsidP="00CC4C68">
      <w:pPr>
        <w:ind w:firstLine="400"/>
        <w:jc w:val="both"/>
        <w:rPr>
          <w:sz w:val="22"/>
          <w:szCs w:val="22"/>
        </w:rPr>
      </w:pPr>
      <w:r w:rsidRPr="000B795F">
        <w:rPr>
          <w:rStyle w:val="s0"/>
          <w:sz w:val="22"/>
          <w:szCs w:val="22"/>
        </w:rPr>
        <w:t xml:space="preserve">В ст. 398 НК </w:t>
      </w:r>
      <w:r w:rsidRPr="000B795F">
        <w:rPr>
          <w:sz w:val="22"/>
          <w:szCs w:val="22"/>
        </w:rPr>
        <w:t>введен</w:t>
      </w:r>
      <w:r w:rsidRPr="000B795F">
        <w:rPr>
          <w:rStyle w:val="s0"/>
          <w:sz w:val="22"/>
          <w:szCs w:val="22"/>
        </w:rPr>
        <w:t xml:space="preserve"> п.7, </w:t>
      </w:r>
      <w:r w:rsidRPr="000B795F">
        <w:rPr>
          <w:sz w:val="22"/>
          <w:szCs w:val="22"/>
        </w:rPr>
        <w:t xml:space="preserve">согласно которому технологические парки по объектам, используемым при осуществлении основного вида деятельности, предусмотренного законодательным актом о государственной поддержке индустриально-инновационной </w:t>
      </w:r>
      <w:proofErr w:type="gramStart"/>
      <w:r w:rsidRPr="000B795F">
        <w:rPr>
          <w:sz w:val="22"/>
          <w:szCs w:val="22"/>
        </w:rPr>
        <w:t>деятельности .</w:t>
      </w:r>
      <w:proofErr w:type="gramEnd"/>
      <w:r w:rsidRPr="000B795F">
        <w:rPr>
          <w:sz w:val="22"/>
          <w:szCs w:val="22"/>
        </w:rPr>
        <w:t xml:space="preserve"> исчисляют налог на имущество по ставке 0,1 процента.   </w:t>
      </w:r>
    </w:p>
    <w:p w14:paraId="2C90CC50" w14:textId="77777777" w:rsidR="00CC4C68" w:rsidRPr="000B795F" w:rsidRDefault="00CC4C68" w:rsidP="00CC4C68">
      <w:pPr>
        <w:pStyle w:val="book"/>
        <w:shd w:val="clear" w:color="auto" w:fill="FDFEFF"/>
        <w:jc w:val="both"/>
        <w:rPr>
          <w:sz w:val="22"/>
          <w:szCs w:val="22"/>
        </w:rPr>
      </w:pPr>
      <w:r w:rsidRPr="000B795F">
        <w:rPr>
          <w:sz w:val="22"/>
          <w:szCs w:val="22"/>
        </w:rPr>
        <w:t>Наличие столь большого количества инструментов поддержки свидетельствует о нацеленности государства в пользу предпринимателей.</w:t>
      </w:r>
    </w:p>
    <w:p w14:paraId="49FADA1A" w14:textId="77777777" w:rsidR="00CC4C68" w:rsidRPr="000B795F" w:rsidRDefault="00CC4C68" w:rsidP="00CC4C68">
      <w:pPr>
        <w:pStyle w:val="book"/>
        <w:shd w:val="clear" w:color="auto" w:fill="FDFEFF"/>
        <w:jc w:val="both"/>
        <w:rPr>
          <w:sz w:val="22"/>
          <w:szCs w:val="22"/>
        </w:rPr>
      </w:pPr>
      <w:r w:rsidRPr="000B795F">
        <w:rPr>
          <w:i/>
          <w:iCs/>
          <w:sz w:val="22"/>
          <w:szCs w:val="22"/>
        </w:rPr>
        <w:t xml:space="preserve">Налоговый механизм используется для выравнивания регионального уровня развития страны, </w:t>
      </w:r>
      <w:r w:rsidRPr="000B795F">
        <w:rPr>
          <w:sz w:val="22"/>
          <w:szCs w:val="22"/>
        </w:rPr>
        <w:t xml:space="preserve">стимулируя ускоренный рост в экономически слаборазвитых регионах и территориях путем создания более благоприятного налогового режима для находящихся там предприятий, свободных экономических зон при более низких налогах и т. д. </w:t>
      </w:r>
    </w:p>
    <w:p w14:paraId="378DE466" w14:textId="77777777" w:rsidR="00CC4C68" w:rsidRPr="000B795F" w:rsidRDefault="00CC4C68" w:rsidP="00CC4C68">
      <w:pPr>
        <w:ind w:firstLine="709"/>
        <w:contextualSpacing/>
        <w:jc w:val="both"/>
        <w:rPr>
          <w:sz w:val="22"/>
          <w:szCs w:val="22"/>
        </w:rPr>
      </w:pPr>
      <w:r w:rsidRPr="000B795F">
        <w:rPr>
          <w:sz w:val="22"/>
          <w:szCs w:val="22"/>
        </w:rPr>
        <w:t xml:space="preserve">В августе 2014 года утверждена программа </w:t>
      </w:r>
      <w:r w:rsidRPr="000B795F">
        <w:rPr>
          <w:rStyle w:val="a7"/>
          <w:bCs/>
          <w:sz w:val="22"/>
          <w:szCs w:val="22"/>
          <w:shd w:val="clear" w:color="auto" w:fill="FFFFFF"/>
        </w:rPr>
        <w:t>индустриально</w:t>
      </w:r>
      <w:r w:rsidRPr="000B795F">
        <w:rPr>
          <w:sz w:val="22"/>
          <w:szCs w:val="22"/>
          <w:shd w:val="clear" w:color="auto" w:fill="FFFFFF"/>
        </w:rPr>
        <w:t>-</w:t>
      </w:r>
      <w:r w:rsidRPr="000B795F">
        <w:rPr>
          <w:rStyle w:val="a7"/>
          <w:bCs/>
          <w:sz w:val="22"/>
          <w:szCs w:val="22"/>
          <w:shd w:val="clear" w:color="auto" w:fill="FFFFFF"/>
        </w:rPr>
        <w:t>инновационного развития</w:t>
      </w:r>
      <w:r w:rsidRPr="000B795F">
        <w:rPr>
          <w:rStyle w:val="apple-converted-space"/>
          <w:sz w:val="22"/>
          <w:szCs w:val="22"/>
          <w:shd w:val="clear" w:color="auto" w:fill="FFFFFF"/>
        </w:rPr>
        <w:t> </w:t>
      </w:r>
      <w:r w:rsidRPr="000B795F">
        <w:rPr>
          <w:sz w:val="22"/>
          <w:szCs w:val="22"/>
          <w:shd w:val="clear" w:color="auto" w:fill="FFFFFF"/>
        </w:rPr>
        <w:t>на</w:t>
      </w:r>
      <w:r w:rsidRPr="000B795F">
        <w:rPr>
          <w:rStyle w:val="apple-converted-space"/>
          <w:sz w:val="22"/>
          <w:szCs w:val="22"/>
          <w:shd w:val="clear" w:color="auto" w:fill="FFFFFF"/>
        </w:rPr>
        <w:t> </w:t>
      </w:r>
      <w:proofErr w:type="gramStart"/>
      <w:r w:rsidRPr="000B795F">
        <w:rPr>
          <w:rStyle w:val="a7"/>
          <w:bCs/>
          <w:sz w:val="22"/>
          <w:szCs w:val="22"/>
          <w:shd w:val="clear" w:color="auto" w:fill="FFFFFF"/>
        </w:rPr>
        <w:t>2015-2019</w:t>
      </w:r>
      <w:proofErr w:type="gramEnd"/>
      <w:r w:rsidRPr="000B795F">
        <w:rPr>
          <w:rStyle w:val="a7"/>
          <w:bCs/>
          <w:sz w:val="22"/>
          <w:szCs w:val="22"/>
          <w:shd w:val="clear" w:color="auto" w:fill="FFFFFF"/>
        </w:rPr>
        <w:t xml:space="preserve"> годы, согласно которой предусматривается в</w:t>
      </w:r>
      <w:r w:rsidRPr="000B795F">
        <w:rPr>
          <w:sz w:val="22"/>
          <w:szCs w:val="22"/>
          <w:lang w:val="kk-KZ"/>
        </w:rPr>
        <w:t xml:space="preserve"> целях обеспечения эффективной деятельности СЭЗ </w:t>
      </w:r>
      <w:r w:rsidRPr="000B795F">
        <w:rPr>
          <w:sz w:val="22"/>
          <w:szCs w:val="22"/>
        </w:rPr>
        <w:t>предоставление налоговых льгот для управляющих компаний, предоставление налоговых льгот для инфраструктурных инвесторов и для сопутствующих и смежных производств приоритетных видов деятельности.</w:t>
      </w:r>
    </w:p>
    <w:p w14:paraId="597FE56F" w14:textId="77777777" w:rsidR="00CC4C68" w:rsidRPr="000B795F" w:rsidRDefault="00CC4C68" w:rsidP="00CC4C68">
      <w:pPr>
        <w:tabs>
          <w:tab w:val="left" w:pos="993"/>
        </w:tabs>
        <w:ind w:firstLine="709"/>
        <w:jc w:val="both"/>
        <w:rPr>
          <w:sz w:val="22"/>
          <w:szCs w:val="22"/>
        </w:rPr>
      </w:pPr>
      <w:r w:rsidRPr="000B795F">
        <w:rPr>
          <w:sz w:val="22"/>
          <w:szCs w:val="22"/>
        </w:rPr>
        <w:t>В целях дальнейшего развития СЭЗ, обеспечения стабильности законодательства, а также внедрения указанных мер должны быть внесены соответствующие поправки в законодательство.</w:t>
      </w:r>
    </w:p>
    <w:p w14:paraId="1A91BF00" w14:textId="77777777" w:rsidR="00CC4C68" w:rsidRPr="000B795F" w:rsidRDefault="00CC4C68" w:rsidP="00CC4C68">
      <w:pPr>
        <w:pStyle w:val="book"/>
        <w:shd w:val="clear" w:color="auto" w:fill="FDFEFF"/>
        <w:jc w:val="both"/>
        <w:rPr>
          <w:sz w:val="22"/>
          <w:szCs w:val="22"/>
        </w:rPr>
      </w:pPr>
      <w:r w:rsidRPr="000B795F">
        <w:rPr>
          <w:i/>
          <w:iCs/>
          <w:sz w:val="22"/>
          <w:szCs w:val="22"/>
        </w:rPr>
        <w:t>Налоговое регулирование затрагивает и социальную сферу.</w:t>
      </w:r>
      <w:r w:rsidRPr="000B795F">
        <w:rPr>
          <w:sz w:val="22"/>
          <w:szCs w:val="22"/>
        </w:rPr>
        <w:t xml:space="preserve"> Это относится к экологии, социальной инфраструктуре, социальной защите населения. Расходы фирм, инвестирующих подобного рода мероприятия, как правило, исключаются из налогооблагаемой прибыли. Страховые взносы в государственные социальные фонды в Казахстане непосредственно выступают источником и инструментом реализации государственной социальной политики, выплачивая за счет них социальные пособия, осуществляя поддержку малоимущих слоев населения. Экологические налоги и штрафные платежи за сверхнормативное потребление природных ресурсов – важнейшие инструменты регулирования процессов охраны окружающей среды и рационального природопользования.</w:t>
      </w:r>
    </w:p>
    <w:p w14:paraId="64591726" w14:textId="77777777" w:rsidR="00CC4C68" w:rsidRPr="000B795F" w:rsidRDefault="00CC4C68" w:rsidP="00CC4C68">
      <w:pPr>
        <w:pStyle w:val="book"/>
        <w:shd w:val="clear" w:color="auto" w:fill="FDFEFF"/>
        <w:jc w:val="both"/>
        <w:rPr>
          <w:sz w:val="22"/>
          <w:szCs w:val="22"/>
        </w:rPr>
      </w:pPr>
      <w:r w:rsidRPr="000B795F">
        <w:rPr>
          <w:i/>
          <w:iCs/>
          <w:sz w:val="22"/>
          <w:szCs w:val="22"/>
        </w:rPr>
        <w:t xml:space="preserve">Через систему косвенного и подоходного налогообложения государство регулирует личное потребление и платежеспособный спрос населения </w:t>
      </w:r>
      <w:r w:rsidRPr="000B795F">
        <w:rPr>
          <w:sz w:val="22"/>
          <w:szCs w:val="22"/>
        </w:rPr>
        <w:t>путем установления необлагаемых минимумов, стандартных, социальных и имущественных вычетов при обложении налогом на доходы физических лиц, освобождения от налогообложения (полного или частичного) отдельных видов личных доходов. Через регулирование платежеспособного спроса населения государство влияет на производство и предложение товаров и услуг, на личные сбережения и потребление.</w:t>
      </w:r>
    </w:p>
    <w:p w14:paraId="48D9F6D4" w14:textId="77777777" w:rsidR="00CC4C68" w:rsidRPr="000B795F" w:rsidRDefault="00CC4C68" w:rsidP="00CC4C68">
      <w:pPr>
        <w:pStyle w:val="a4"/>
        <w:widowControl/>
        <w:tabs>
          <w:tab w:val="clear" w:pos="720"/>
          <w:tab w:val="clear" w:pos="1080"/>
          <w:tab w:val="clear" w:pos="1260"/>
        </w:tabs>
        <w:ind w:left="0" w:firstLine="709"/>
        <w:jc w:val="both"/>
        <w:rPr>
          <w:sz w:val="22"/>
          <w:szCs w:val="22"/>
        </w:rPr>
      </w:pPr>
      <w:r w:rsidRPr="000B795F">
        <w:rPr>
          <w:rStyle w:val="a3"/>
          <w:sz w:val="22"/>
          <w:szCs w:val="22"/>
          <w:shd w:val="clear" w:color="auto" w:fill="FFFFFF"/>
        </w:rPr>
        <w:t xml:space="preserve">В Послании Президента Республики Казахстан - Лидера Нации Нурсултана Назарбаева народу «Стратегия «Казахстан-2050»: новый политический курс состоявшегося государства» Казахстана в плане дальнейшего развития налогового регулирования отмечено: </w:t>
      </w:r>
      <w:proofErr w:type="gramStart"/>
      <w:r w:rsidRPr="000B795F">
        <w:rPr>
          <w:rStyle w:val="a3"/>
          <w:sz w:val="22"/>
          <w:szCs w:val="22"/>
          <w:shd w:val="clear" w:color="auto" w:fill="FFFFFF"/>
        </w:rPr>
        <w:t>«</w:t>
      </w:r>
      <w:r w:rsidRPr="000B795F">
        <w:rPr>
          <w:b w:val="0"/>
          <w:sz w:val="22"/>
          <w:szCs w:val="22"/>
          <w:shd w:val="clear" w:color="auto" w:fill="FFFFFF"/>
        </w:rPr>
        <w:t xml:space="preserve"> Необходимо</w:t>
      </w:r>
      <w:proofErr w:type="gramEnd"/>
      <w:r w:rsidRPr="000B795F">
        <w:rPr>
          <w:b w:val="0"/>
          <w:sz w:val="22"/>
          <w:szCs w:val="22"/>
          <w:shd w:val="clear" w:color="auto" w:fill="FFFFFF"/>
        </w:rPr>
        <w:t xml:space="preserve"> ввести благоприятный налоговый режим для объектов налогообложения, занятых в области производства и новых технологий. Сейчас эта работа началась. Ставлю задачу ее </w:t>
      </w:r>
      <w:r w:rsidRPr="000B795F">
        <w:rPr>
          <w:b w:val="0"/>
          <w:sz w:val="22"/>
          <w:szCs w:val="22"/>
          <w:shd w:val="clear" w:color="auto" w:fill="FFFFFF"/>
        </w:rPr>
        <w:lastRenderedPageBreak/>
        <w:t xml:space="preserve">усовершенствовать: провести ревизию всех действующих налоговых льгот и сделать их максимально эффективными. Мы должны продолжить политику либерализации налогового и систематизации таможенного администрирования. Необходимо упростить и минимизировать налоговую отчетность. Мы должны стимулировать участников рынка к конкуренции, а не к поиску способов ухода от налогов. Прагматичное уменьшение налогового надзора должно минимизировать диалог хозяйствующих субъектов с налоговой службой. В ближайшие пять лет всем необходимо перейти на режим электронной отчетности </w:t>
      </w:r>
      <w:proofErr w:type="gramStart"/>
      <w:r w:rsidRPr="000B795F">
        <w:rPr>
          <w:b w:val="0"/>
          <w:sz w:val="22"/>
          <w:szCs w:val="22"/>
          <w:shd w:val="clear" w:color="auto" w:fill="FFFFFF"/>
        </w:rPr>
        <w:t>онлайн.•</w:t>
      </w:r>
      <w:proofErr w:type="gramEnd"/>
      <w:r w:rsidRPr="000B795F">
        <w:rPr>
          <w:b w:val="0"/>
          <w:sz w:val="22"/>
          <w:szCs w:val="22"/>
          <w:shd w:val="clear" w:color="auto" w:fill="FFFFFF"/>
        </w:rPr>
        <w:t xml:space="preserve"> С 2020 года мы должны внедрить практику налогового кредитования. Главная задача-стимулирование инвестиционной активности предпринимателей. Новая налоговая политика должна иметь социальную направленность. Для этого необходимо, начиная с 2015 года, разработать комплекс стимулирующих мер, в том числе предусматривающих практику освобождения от налогов компаний и граждан, вкладывающих средства в образование и медицинское страхование себя, своей семьи, сотрудников»</w:t>
      </w:r>
      <w:r w:rsidRPr="000B795F">
        <w:rPr>
          <w:sz w:val="22"/>
          <w:szCs w:val="22"/>
          <w:shd w:val="clear" w:color="auto" w:fill="FFFFFF"/>
        </w:rPr>
        <w:t>.</w:t>
      </w:r>
    </w:p>
    <w:p w14:paraId="6CDEFDAD" w14:textId="77777777" w:rsidR="00CC4C68" w:rsidRPr="000B795F" w:rsidRDefault="00CC4C68" w:rsidP="00CC4C68">
      <w:pPr>
        <w:pStyle w:val="1"/>
        <w:spacing w:before="0" w:after="0"/>
        <w:ind w:firstLine="709"/>
        <w:jc w:val="both"/>
        <w:rPr>
          <w:b/>
          <w:sz w:val="22"/>
          <w:szCs w:val="22"/>
        </w:rPr>
      </w:pPr>
      <w:r w:rsidRPr="000B795F">
        <w:rPr>
          <w:b/>
          <w:bCs/>
          <w:sz w:val="22"/>
          <w:szCs w:val="22"/>
          <w:lang w:val="ru-RU"/>
        </w:rPr>
        <w:t>2 вопрос.</w:t>
      </w:r>
      <w:r w:rsidRPr="000B795F">
        <w:rPr>
          <w:b/>
          <w:sz w:val="22"/>
          <w:szCs w:val="22"/>
        </w:rPr>
        <w:t xml:space="preserve"> </w:t>
      </w:r>
      <w:proofErr w:type="spellStart"/>
      <w:r w:rsidRPr="000B795F">
        <w:rPr>
          <w:b/>
          <w:sz w:val="22"/>
          <w:szCs w:val="22"/>
        </w:rPr>
        <w:t>Инструментарий</w:t>
      </w:r>
      <w:proofErr w:type="spellEnd"/>
      <w:r w:rsidRPr="000B795F">
        <w:rPr>
          <w:b/>
          <w:sz w:val="22"/>
          <w:szCs w:val="22"/>
        </w:rPr>
        <w:t xml:space="preserve"> </w:t>
      </w:r>
      <w:proofErr w:type="spellStart"/>
      <w:r w:rsidRPr="000B795F">
        <w:rPr>
          <w:b/>
          <w:sz w:val="22"/>
          <w:szCs w:val="22"/>
        </w:rPr>
        <w:t>государственного</w:t>
      </w:r>
      <w:proofErr w:type="spellEnd"/>
      <w:r w:rsidRPr="000B795F">
        <w:rPr>
          <w:b/>
          <w:sz w:val="22"/>
          <w:szCs w:val="22"/>
        </w:rPr>
        <w:t xml:space="preserve"> </w:t>
      </w:r>
      <w:proofErr w:type="spellStart"/>
      <w:r w:rsidRPr="000B795F">
        <w:rPr>
          <w:b/>
          <w:sz w:val="22"/>
          <w:szCs w:val="22"/>
        </w:rPr>
        <w:t>налогового</w:t>
      </w:r>
      <w:proofErr w:type="spellEnd"/>
      <w:r w:rsidRPr="000B795F">
        <w:rPr>
          <w:b/>
          <w:sz w:val="22"/>
          <w:szCs w:val="22"/>
        </w:rPr>
        <w:t xml:space="preserve"> </w:t>
      </w:r>
      <w:proofErr w:type="spellStart"/>
      <w:r w:rsidRPr="000B795F">
        <w:rPr>
          <w:b/>
          <w:sz w:val="22"/>
          <w:szCs w:val="22"/>
        </w:rPr>
        <w:t>регулирования</w:t>
      </w:r>
      <w:proofErr w:type="spellEnd"/>
      <w:r w:rsidRPr="000B795F">
        <w:rPr>
          <w:b/>
          <w:sz w:val="22"/>
          <w:szCs w:val="22"/>
        </w:rPr>
        <w:t xml:space="preserve"> </w:t>
      </w:r>
    </w:p>
    <w:p w14:paraId="41B6CDCF" w14:textId="77777777" w:rsidR="00CC4C68" w:rsidRPr="000B795F" w:rsidRDefault="00CC4C68" w:rsidP="00CC4C68">
      <w:pPr>
        <w:pStyle w:val="book"/>
        <w:shd w:val="clear" w:color="auto" w:fill="FDFEFF"/>
        <w:jc w:val="both"/>
        <w:rPr>
          <w:sz w:val="22"/>
          <w:szCs w:val="22"/>
        </w:rPr>
      </w:pPr>
      <w:r w:rsidRPr="000B795F">
        <w:rPr>
          <w:sz w:val="22"/>
          <w:szCs w:val="22"/>
        </w:rPr>
        <w:t xml:space="preserve">Мировой практике известны следующие наиболее распространенные </w:t>
      </w:r>
      <w:r w:rsidRPr="000B795F">
        <w:rPr>
          <w:i/>
          <w:iCs/>
          <w:sz w:val="22"/>
          <w:szCs w:val="22"/>
        </w:rPr>
        <w:t>методы государственного налогового регулирования:</w:t>
      </w:r>
    </w:p>
    <w:p w14:paraId="1D0250B3" w14:textId="77777777" w:rsidR="00CC4C68" w:rsidRPr="000B795F" w:rsidRDefault="00CC4C68" w:rsidP="00CC4C68">
      <w:pPr>
        <w:pStyle w:val="book"/>
        <w:shd w:val="clear" w:color="auto" w:fill="FDFEFF"/>
        <w:jc w:val="both"/>
        <w:rPr>
          <w:sz w:val="22"/>
          <w:szCs w:val="22"/>
        </w:rPr>
      </w:pPr>
      <w:r w:rsidRPr="000B795F">
        <w:rPr>
          <w:sz w:val="22"/>
          <w:szCs w:val="22"/>
        </w:rPr>
        <w:t>· изменение состава и структуры системы налогов,</w:t>
      </w:r>
    </w:p>
    <w:p w14:paraId="7CDE95FA" w14:textId="77777777" w:rsidR="00CC4C68" w:rsidRPr="000B795F" w:rsidRDefault="00CC4C68" w:rsidP="00CC4C68">
      <w:pPr>
        <w:pStyle w:val="book"/>
        <w:shd w:val="clear" w:color="auto" w:fill="FDFEFF"/>
        <w:jc w:val="both"/>
        <w:rPr>
          <w:sz w:val="22"/>
          <w:szCs w:val="22"/>
        </w:rPr>
      </w:pPr>
      <w:r w:rsidRPr="000B795F">
        <w:rPr>
          <w:sz w:val="22"/>
          <w:szCs w:val="22"/>
        </w:rPr>
        <w:t>· замена одного способа или формы налогообложения другими,</w:t>
      </w:r>
    </w:p>
    <w:p w14:paraId="022C8572" w14:textId="77777777" w:rsidR="00CC4C68" w:rsidRPr="000B795F" w:rsidRDefault="00CC4C68" w:rsidP="00CC4C68">
      <w:pPr>
        <w:pStyle w:val="book"/>
        <w:shd w:val="clear" w:color="auto" w:fill="FDFEFF"/>
        <w:jc w:val="both"/>
        <w:rPr>
          <w:sz w:val="22"/>
          <w:szCs w:val="22"/>
        </w:rPr>
      </w:pPr>
      <w:r w:rsidRPr="000B795F">
        <w:rPr>
          <w:sz w:val="22"/>
          <w:szCs w:val="22"/>
        </w:rPr>
        <w:t>· изменения и дифференциация ставок налогов,</w:t>
      </w:r>
    </w:p>
    <w:p w14:paraId="01081001" w14:textId="77777777" w:rsidR="00CC4C68" w:rsidRPr="000B795F" w:rsidRDefault="00CC4C68" w:rsidP="00CC4C68">
      <w:pPr>
        <w:pStyle w:val="book"/>
        <w:shd w:val="clear" w:color="auto" w:fill="FDFEFF"/>
        <w:jc w:val="both"/>
        <w:rPr>
          <w:sz w:val="22"/>
          <w:szCs w:val="22"/>
        </w:rPr>
      </w:pPr>
      <w:r w:rsidRPr="000B795F">
        <w:rPr>
          <w:sz w:val="22"/>
          <w:szCs w:val="22"/>
        </w:rPr>
        <w:t>· изменение налоговых льгот и скидок, их переориентация по направлениям, объектам и плательщикам,</w:t>
      </w:r>
    </w:p>
    <w:p w14:paraId="2D5AA293" w14:textId="77777777" w:rsidR="00CC4C68" w:rsidRPr="000B795F" w:rsidRDefault="00CC4C68" w:rsidP="00CC4C68">
      <w:pPr>
        <w:pStyle w:val="book"/>
        <w:shd w:val="clear" w:color="auto" w:fill="FDFEFF"/>
        <w:jc w:val="both"/>
        <w:rPr>
          <w:sz w:val="22"/>
          <w:szCs w:val="22"/>
        </w:rPr>
      </w:pPr>
      <w:r w:rsidRPr="000B795F">
        <w:rPr>
          <w:sz w:val="22"/>
          <w:szCs w:val="22"/>
        </w:rPr>
        <w:t>· полное или частичное освобождение от налогов,</w:t>
      </w:r>
    </w:p>
    <w:p w14:paraId="091BB253" w14:textId="77777777" w:rsidR="00CC4C68" w:rsidRPr="000B795F" w:rsidRDefault="00CC4C68" w:rsidP="00CC4C68">
      <w:pPr>
        <w:pStyle w:val="book"/>
        <w:shd w:val="clear" w:color="auto" w:fill="FDFEFF"/>
        <w:jc w:val="both"/>
        <w:rPr>
          <w:sz w:val="22"/>
          <w:szCs w:val="22"/>
        </w:rPr>
      </w:pPr>
      <w:r w:rsidRPr="000B795F">
        <w:rPr>
          <w:sz w:val="22"/>
          <w:szCs w:val="22"/>
        </w:rPr>
        <w:t>· отсрочка платежа или аннулирование задолженности,</w:t>
      </w:r>
    </w:p>
    <w:p w14:paraId="0694C115" w14:textId="77777777" w:rsidR="00CC4C68" w:rsidRPr="000B795F" w:rsidRDefault="00CC4C68" w:rsidP="00CC4C68">
      <w:pPr>
        <w:pStyle w:val="book"/>
        <w:shd w:val="clear" w:color="auto" w:fill="FDFEFF"/>
        <w:jc w:val="both"/>
        <w:rPr>
          <w:sz w:val="22"/>
          <w:szCs w:val="22"/>
        </w:rPr>
      </w:pPr>
      <w:r w:rsidRPr="000B795F">
        <w:rPr>
          <w:sz w:val="22"/>
          <w:szCs w:val="22"/>
        </w:rPr>
        <w:t>· изменение сферы распространения налогов.</w:t>
      </w:r>
    </w:p>
    <w:p w14:paraId="13BFF0D3" w14:textId="77777777" w:rsidR="00CC4C68" w:rsidRPr="000B795F" w:rsidRDefault="00CC4C68" w:rsidP="00CC4C68">
      <w:pPr>
        <w:pStyle w:val="book"/>
        <w:shd w:val="clear" w:color="auto" w:fill="FDFEFF"/>
        <w:jc w:val="both"/>
        <w:rPr>
          <w:sz w:val="22"/>
          <w:szCs w:val="22"/>
        </w:rPr>
      </w:pPr>
      <w:r w:rsidRPr="000B795F">
        <w:rPr>
          <w:sz w:val="22"/>
          <w:szCs w:val="22"/>
        </w:rPr>
        <w:t>В сфере государственного налогового регулирования экономики особое значение имеет оптимизация состава и структуры системы налогов, уровня и структуры налогового бремени и налоговых ставок. Суть данного процесса заключается в достижении налогового равновесия между ценовой, фискальной и регулирующей функциями. Построение рациональной налоговой системы зависит от экономически обоснованной ее внутренней структуры и, прежде всего, от параметров налоговых баз и налоговых ставок.</w:t>
      </w:r>
    </w:p>
    <w:p w14:paraId="45869499" w14:textId="77777777" w:rsidR="00CC4C68" w:rsidRPr="000B795F" w:rsidRDefault="00CC4C68" w:rsidP="00CC4C68">
      <w:pPr>
        <w:pStyle w:val="book"/>
        <w:shd w:val="clear" w:color="auto" w:fill="FDFEFF"/>
        <w:jc w:val="both"/>
        <w:rPr>
          <w:sz w:val="22"/>
          <w:szCs w:val="22"/>
        </w:rPr>
      </w:pPr>
      <w:r w:rsidRPr="000B795F">
        <w:rPr>
          <w:sz w:val="22"/>
          <w:szCs w:val="22"/>
        </w:rPr>
        <w:t xml:space="preserve">В зависимости от способов воздействия государственное налоговое регулирование подразделяется на две сферы: </w:t>
      </w:r>
      <w:r w:rsidRPr="000B795F">
        <w:rPr>
          <w:i/>
          <w:iCs/>
          <w:sz w:val="22"/>
          <w:szCs w:val="22"/>
        </w:rPr>
        <w:t>налоговое стимулирование и налоговое сдерживание</w:t>
      </w:r>
      <w:r w:rsidRPr="000B795F">
        <w:rPr>
          <w:sz w:val="22"/>
          <w:szCs w:val="22"/>
        </w:rPr>
        <w:t>. Налоговое стимулирование основано на политике низких налогов, оптимизации состава и структуры системы налогов, уровня налогового бремени и ставок отдельных налогов, а также на использовании системы налогового льготирования (налоговых льгот и преференций). Налоговое стимулирование призвано целенаправленно воздействовать на экономику в целом, отдельные ее сферы, отрасли и социальные процессы, а также на экономическое поведение налогоплательщиков. Основной формой налогового стимулирования является налоговое льготирование. Налоговое сдерживание менее распространенная сфера государственного налогового регулирования, так как оно призвано сдерживать развитие отдельных отраслей экономики и инвестиционную активность, преимущественно в целях недопущения кризиса перепроизводства, что редко случается в современной экономике. Тем более, что это не грозит в ближайшие годы и в перспективе Казахстана. Налоговое сдерживание основано на политике высоких налогов с использованием в целом и выборочно высоких налоговых ставок, с увеличением перечня налоговых платежей, с отменой налоговых льгот и т. п. поэтому основное внимание в данном параграфе следует уделить налоговому стимулированию в форме налогового льготирования.</w:t>
      </w:r>
    </w:p>
    <w:p w14:paraId="56FF8DC8" w14:textId="77777777" w:rsidR="00CC4C68" w:rsidRPr="000B795F" w:rsidRDefault="00CC4C68" w:rsidP="00CC4C68">
      <w:pPr>
        <w:pStyle w:val="book"/>
        <w:shd w:val="clear" w:color="auto" w:fill="FDFEFF"/>
        <w:jc w:val="both"/>
        <w:rPr>
          <w:sz w:val="22"/>
          <w:szCs w:val="22"/>
        </w:rPr>
      </w:pPr>
      <w:r w:rsidRPr="000B795F">
        <w:rPr>
          <w:sz w:val="22"/>
          <w:szCs w:val="22"/>
        </w:rPr>
        <w:t>Мировая практика показывает, что государство обычно применяет льготы в тех отраслях, в ускоренном развитии которых оно нуждается на соответствующем этапе своего развития, в зависимости от проводимой политики в сфере экономики, науки, социальной сфере и т. п. Анализ налогового законодательства показывает, что из всей массы налоговых льгот, на стимулирование инвестиций направлены только порядка 10, что вряд ли соответствуют ориентации государственной политики на экономический рост. Налоговое стимулирование инвестиционных процессов, внешнеэкономической деятельности способно позитивно повлиять на всю структуру хозяйственного комплекса страны. Текущее налоговое регулирование при всей своей мобильности может быть успешным лишь при соблюдении принципиальных установок системы налогообложения в целом, определенных в законе на длительную перспективу.</w:t>
      </w:r>
    </w:p>
    <w:p w14:paraId="24EF0BDF" w14:textId="77777777" w:rsidR="00CC4C68" w:rsidRPr="000B795F" w:rsidRDefault="00CC4C68" w:rsidP="00CC4C68">
      <w:pPr>
        <w:pStyle w:val="book"/>
        <w:shd w:val="clear" w:color="auto" w:fill="FDFEFF"/>
        <w:jc w:val="both"/>
        <w:rPr>
          <w:sz w:val="22"/>
          <w:szCs w:val="22"/>
        </w:rPr>
      </w:pPr>
      <w:r w:rsidRPr="000B795F">
        <w:rPr>
          <w:sz w:val="22"/>
          <w:szCs w:val="22"/>
        </w:rPr>
        <w:lastRenderedPageBreak/>
        <w:t>Основанием для предоставления льгот могут быть: материальное, финансовое, экономическое положение налогоплательщика; особые заслуги граждан; необходимость развития отдельных сфер и субъектов производства, регионов страны; социальное, семейное положение граждан и т. д.</w:t>
      </w:r>
    </w:p>
    <w:p w14:paraId="01A7382B" w14:textId="77777777" w:rsidR="00CC4C68" w:rsidRPr="000B795F" w:rsidRDefault="00CC4C68" w:rsidP="00CC4C68">
      <w:pPr>
        <w:pStyle w:val="book"/>
        <w:shd w:val="clear" w:color="auto" w:fill="FDFEFF"/>
        <w:jc w:val="both"/>
        <w:rPr>
          <w:sz w:val="22"/>
          <w:szCs w:val="22"/>
        </w:rPr>
      </w:pPr>
      <w:r w:rsidRPr="000B795F">
        <w:rPr>
          <w:sz w:val="22"/>
          <w:szCs w:val="22"/>
        </w:rPr>
        <w:t xml:space="preserve">В зависимости от того, на изменение какого элемента налогообложения направлены налоговые льготы, они подразделяются на 3 вида: </w:t>
      </w:r>
      <w:r w:rsidRPr="000B795F">
        <w:rPr>
          <w:b/>
          <w:bCs/>
          <w:i/>
          <w:iCs/>
          <w:sz w:val="22"/>
          <w:szCs w:val="22"/>
        </w:rPr>
        <w:t xml:space="preserve">налоговые освобождения, налоговые скидки </w:t>
      </w:r>
      <w:r w:rsidRPr="000B795F">
        <w:rPr>
          <w:b/>
          <w:bCs/>
          <w:sz w:val="22"/>
          <w:szCs w:val="22"/>
        </w:rPr>
        <w:t>и</w:t>
      </w:r>
      <w:r w:rsidRPr="000B795F">
        <w:rPr>
          <w:b/>
          <w:bCs/>
          <w:i/>
          <w:iCs/>
          <w:sz w:val="22"/>
          <w:szCs w:val="22"/>
        </w:rPr>
        <w:t xml:space="preserve"> налоговые кредиты.</w:t>
      </w:r>
    </w:p>
    <w:p w14:paraId="0722680C" w14:textId="77777777" w:rsidR="00CC4C68" w:rsidRPr="000B795F" w:rsidRDefault="00CC4C68" w:rsidP="00CC4C68">
      <w:pPr>
        <w:pStyle w:val="book"/>
        <w:shd w:val="clear" w:color="auto" w:fill="FDFEFF"/>
        <w:jc w:val="both"/>
        <w:rPr>
          <w:sz w:val="22"/>
          <w:szCs w:val="22"/>
        </w:rPr>
      </w:pPr>
      <w:r w:rsidRPr="000B795F">
        <w:rPr>
          <w:i/>
          <w:iCs/>
          <w:sz w:val="22"/>
          <w:szCs w:val="22"/>
        </w:rPr>
        <w:t>К налоговым освобождениям</w:t>
      </w:r>
      <w:r w:rsidRPr="000B795F">
        <w:rPr>
          <w:sz w:val="22"/>
          <w:szCs w:val="22"/>
        </w:rPr>
        <w:t xml:space="preserve"> (полным или частичным) относятся льготы, которые </w:t>
      </w:r>
      <w:r w:rsidRPr="000B795F">
        <w:rPr>
          <w:i/>
          <w:iCs/>
          <w:sz w:val="22"/>
          <w:szCs w:val="22"/>
        </w:rPr>
        <w:t>выводят из-под налогообложения</w:t>
      </w:r>
      <w:r w:rsidRPr="000B795F">
        <w:rPr>
          <w:sz w:val="22"/>
          <w:szCs w:val="22"/>
        </w:rPr>
        <w:t xml:space="preserve"> отдельные объекты или отдельные группы потенциальных налогоплательщиков, и которые связаны с использованием пониженных налоговых ставок. Например, по налогу на доходы физических лиц – не облагаются пенсии, стипендии; по налогу на добавленную стоимость – не облагаются банковские операции и операции по страхованию и перестрахованию, освобождаются от налога субъекты специальных налоговых режимов и т. д. использование пониженных ставок налогов также достаточно распространенный прием, используемый при обложении НДС, и др. К рассматриваемой группе льгот относятся также: </w:t>
      </w:r>
      <w:r w:rsidRPr="000B795F">
        <w:rPr>
          <w:i/>
          <w:iCs/>
          <w:sz w:val="22"/>
          <w:szCs w:val="22"/>
        </w:rPr>
        <w:t>налоговая амнистия</w:t>
      </w:r>
      <w:r w:rsidRPr="000B795F">
        <w:rPr>
          <w:sz w:val="22"/>
          <w:szCs w:val="22"/>
        </w:rPr>
        <w:t xml:space="preserve"> – аннулирование (списание) безнадежной задолженности по налогам отдельных групп налогоплательщиков; </w:t>
      </w:r>
      <w:r w:rsidRPr="000B795F">
        <w:rPr>
          <w:i/>
          <w:iCs/>
          <w:sz w:val="22"/>
          <w:szCs w:val="22"/>
        </w:rPr>
        <w:t>налоговые каникулы</w:t>
      </w:r>
      <w:r w:rsidRPr="000B795F">
        <w:rPr>
          <w:sz w:val="22"/>
          <w:szCs w:val="22"/>
        </w:rPr>
        <w:t xml:space="preserve"> – освобождение отдельных налогоплательщиков на определенный период времени от какого-либо налога.</w:t>
      </w:r>
    </w:p>
    <w:p w14:paraId="4DFE3E18" w14:textId="77777777" w:rsidR="00CC4C68" w:rsidRPr="000B795F" w:rsidRDefault="00CC4C68" w:rsidP="00CC4C68">
      <w:pPr>
        <w:pStyle w:val="book"/>
        <w:shd w:val="clear" w:color="auto" w:fill="FDFEFF"/>
        <w:jc w:val="both"/>
        <w:rPr>
          <w:sz w:val="22"/>
          <w:szCs w:val="22"/>
        </w:rPr>
      </w:pPr>
      <w:r w:rsidRPr="000B795F">
        <w:rPr>
          <w:i/>
          <w:iCs/>
          <w:sz w:val="22"/>
          <w:szCs w:val="22"/>
        </w:rPr>
        <w:t>Налоговые скидки (налоговые вычеты из налоговой базы)</w:t>
      </w:r>
      <w:r w:rsidRPr="000B795F">
        <w:rPr>
          <w:sz w:val="22"/>
          <w:szCs w:val="22"/>
        </w:rPr>
        <w:t xml:space="preserve"> – это льготы, направленные на </w:t>
      </w:r>
      <w:r w:rsidRPr="000B795F">
        <w:rPr>
          <w:i/>
          <w:iCs/>
          <w:sz w:val="22"/>
          <w:szCs w:val="22"/>
        </w:rPr>
        <w:t xml:space="preserve">сокращение налоговой базы. </w:t>
      </w:r>
      <w:r w:rsidRPr="000B795F">
        <w:rPr>
          <w:sz w:val="22"/>
          <w:szCs w:val="22"/>
        </w:rPr>
        <w:t xml:space="preserve">Скидки обычно связаны с расходами налогоплательщиков, уменьшающими налоговую базу, а также с вычетами из налоговой базы определенных доходов и имущества. К ним относятся, например, налоговые вычеты по налогу на доходы физических лиц – стандартные, социальные, имущественные и профессиональные вычеты из доходов, полученных налогоплательщиком; перенос убытков на будущее (уменьшение налоговой базы на сумму убытков, полученных в предыдущем налоговом периоде) по налогу на прибыль. Скидки подразделяются на </w:t>
      </w:r>
      <w:r w:rsidRPr="000B795F">
        <w:rPr>
          <w:i/>
          <w:iCs/>
          <w:sz w:val="22"/>
          <w:szCs w:val="22"/>
        </w:rPr>
        <w:t xml:space="preserve">лимитированные </w:t>
      </w:r>
      <w:r w:rsidRPr="000B795F">
        <w:rPr>
          <w:sz w:val="22"/>
          <w:szCs w:val="22"/>
        </w:rPr>
        <w:t xml:space="preserve">(размер скидок ограничен) и </w:t>
      </w:r>
      <w:r w:rsidRPr="000B795F">
        <w:rPr>
          <w:i/>
          <w:iCs/>
          <w:sz w:val="22"/>
          <w:szCs w:val="22"/>
        </w:rPr>
        <w:t>нелимитированные</w:t>
      </w:r>
      <w:r w:rsidRPr="000B795F">
        <w:rPr>
          <w:sz w:val="22"/>
          <w:szCs w:val="22"/>
        </w:rPr>
        <w:t xml:space="preserve"> (налоговая база может быть уменьшена на сумму определенных расходов). Большую группу составляют различного рода </w:t>
      </w:r>
      <w:r w:rsidRPr="000B795F">
        <w:rPr>
          <w:i/>
          <w:iCs/>
          <w:sz w:val="22"/>
          <w:szCs w:val="22"/>
        </w:rPr>
        <w:t>целевые скидки</w:t>
      </w:r>
      <w:r w:rsidRPr="000B795F">
        <w:rPr>
          <w:sz w:val="22"/>
          <w:szCs w:val="22"/>
        </w:rPr>
        <w:t>, связанные с инвестиционными расходами, с дополнительными расходами на разработку нерентабельных и малодебитных месторождений полезных ископаемых, с другими расходами.</w:t>
      </w:r>
    </w:p>
    <w:p w14:paraId="2DA10ABB" w14:textId="77777777" w:rsidR="00CC4C68" w:rsidRPr="000B795F" w:rsidRDefault="00CC4C68" w:rsidP="00CC4C68">
      <w:pPr>
        <w:pStyle w:val="book"/>
        <w:shd w:val="clear" w:color="auto" w:fill="FDFEFF"/>
        <w:jc w:val="both"/>
        <w:rPr>
          <w:sz w:val="22"/>
          <w:szCs w:val="22"/>
        </w:rPr>
      </w:pPr>
      <w:r w:rsidRPr="000B795F">
        <w:rPr>
          <w:i/>
          <w:iCs/>
          <w:sz w:val="22"/>
          <w:szCs w:val="22"/>
        </w:rPr>
        <w:t>Налоговые кредиты</w:t>
      </w:r>
      <w:r w:rsidRPr="000B795F">
        <w:rPr>
          <w:sz w:val="22"/>
          <w:szCs w:val="22"/>
        </w:rPr>
        <w:t xml:space="preserve"> – это льготы, направленные </w:t>
      </w:r>
      <w:r w:rsidRPr="000B795F">
        <w:rPr>
          <w:i/>
          <w:iCs/>
          <w:sz w:val="22"/>
          <w:szCs w:val="22"/>
        </w:rPr>
        <w:t>на уменьшение налогового оклада (суммы налога).</w:t>
      </w:r>
      <w:r w:rsidRPr="000B795F">
        <w:rPr>
          <w:sz w:val="22"/>
          <w:szCs w:val="22"/>
        </w:rPr>
        <w:t xml:space="preserve"> Налоговые кредиты как особая группа налоговых льгот и преференций можно разделить на следующие виды:</w:t>
      </w:r>
    </w:p>
    <w:p w14:paraId="1625683A" w14:textId="77777777" w:rsidR="00CC4C68" w:rsidRPr="000B795F" w:rsidRDefault="00CC4C68" w:rsidP="00CC4C68">
      <w:pPr>
        <w:pStyle w:val="book"/>
        <w:shd w:val="clear" w:color="auto" w:fill="FDFEFF"/>
        <w:jc w:val="both"/>
        <w:rPr>
          <w:sz w:val="22"/>
          <w:szCs w:val="22"/>
        </w:rPr>
      </w:pPr>
      <w:r w:rsidRPr="000B795F">
        <w:rPr>
          <w:sz w:val="22"/>
          <w:szCs w:val="22"/>
        </w:rPr>
        <w:t>§ вычет, зачет, возврат ранее уплаченного налога (например, налоговые вычеты по НДС и акцизам, вычет сумм подоходного налога, уплаченного за рубежом, из суммы налога на доходы физических, подлежащей уплате в Казахстане, зачет или возврат сумм переплаченных авансовых платежей и т. п.);</w:t>
      </w:r>
    </w:p>
    <w:p w14:paraId="341C26B4" w14:textId="77777777" w:rsidR="00CC4C68" w:rsidRPr="000B795F" w:rsidRDefault="00CC4C68" w:rsidP="00CC4C68">
      <w:pPr>
        <w:pStyle w:val="book"/>
        <w:shd w:val="clear" w:color="auto" w:fill="FDFEFF"/>
        <w:jc w:val="both"/>
        <w:rPr>
          <w:sz w:val="22"/>
          <w:szCs w:val="22"/>
        </w:rPr>
      </w:pPr>
      <w:r w:rsidRPr="000B795F">
        <w:rPr>
          <w:sz w:val="22"/>
          <w:szCs w:val="22"/>
        </w:rPr>
        <w:t>§ отсрочка или рассрочка уплаты налога (изменение срока уплаты налога, при наличии оснований, на срок от одного до шести месяцев соответственно с единовременной или поэтапной уплатой налогоплательщиком суммы задолженности без процентов и с процентами);</w:t>
      </w:r>
    </w:p>
    <w:p w14:paraId="3705929F" w14:textId="77777777" w:rsidR="00CC4C68" w:rsidRPr="000B795F" w:rsidRDefault="00CC4C68" w:rsidP="00CC4C68">
      <w:pPr>
        <w:pStyle w:val="book"/>
        <w:shd w:val="clear" w:color="auto" w:fill="FDFEFF"/>
        <w:jc w:val="both"/>
        <w:rPr>
          <w:sz w:val="22"/>
          <w:szCs w:val="22"/>
        </w:rPr>
      </w:pPr>
      <w:r w:rsidRPr="000B795F">
        <w:rPr>
          <w:sz w:val="22"/>
          <w:szCs w:val="22"/>
        </w:rPr>
        <w:t>§ налоговый кредит (изменение срока уплаты по одному или нескольким налогам на срок от трех месяцев до одного года. с возвратом сумм задолженности без процентов и с процентами);</w:t>
      </w:r>
    </w:p>
    <w:p w14:paraId="6BD69F52" w14:textId="77777777" w:rsidR="00CC4C68" w:rsidRPr="000B795F" w:rsidRDefault="00CC4C68" w:rsidP="00CC4C68">
      <w:pPr>
        <w:pStyle w:val="book"/>
        <w:shd w:val="clear" w:color="auto" w:fill="FDFEFF"/>
        <w:jc w:val="both"/>
        <w:rPr>
          <w:sz w:val="22"/>
          <w:szCs w:val="22"/>
        </w:rPr>
      </w:pPr>
      <w:r w:rsidRPr="000B795F">
        <w:rPr>
          <w:sz w:val="22"/>
          <w:szCs w:val="22"/>
        </w:rPr>
        <w:t>§ инвестиционный налоговый кредит (изменение срока уплаты налога на прибыль организаций, а также региональных и местных налогов от одного года до пяти лет, при котором организации, при наличии оснований, предоставляется возможность в определенных пределах уменьшать свои платежи по налогу с последующей поэтапной уплатой суммы кредита и начисленных процентов).</w:t>
      </w:r>
    </w:p>
    <w:p w14:paraId="23AB0A85" w14:textId="77777777" w:rsidR="00CC4C68" w:rsidRPr="000B795F" w:rsidRDefault="00CC4C68" w:rsidP="00CC4C68">
      <w:pPr>
        <w:pStyle w:val="book"/>
        <w:shd w:val="clear" w:color="auto" w:fill="FDFEFF"/>
        <w:jc w:val="both"/>
        <w:rPr>
          <w:sz w:val="22"/>
          <w:szCs w:val="22"/>
        </w:rPr>
      </w:pPr>
      <w:r w:rsidRPr="000B795F">
        <w:rPr>
          <w:sz w:val="22"/>
          <w:szCs w:val="22"/>
          <w:shd w:val="clear" w:color="auto" w:fill="FFFFFF"/>
        </w:rPr>
        <w:t xml:space="preserve">Таким образом, будущая налоговая политика на бизнес-уровне должна стимулировать внутренний рост и отечественный экспорт на внешние рынки, а на уровне граждан стимулировать их накопления, сбережения и вложения. </w:t>
      </w:r>
      <w:r w:rsidRPr="000B795F">
        <w:rPr>
          <w:sz w:val="22"/>
          <w:szCs w:val="22"/>
        </w:rPr>
        <w:t xml:space="preserve">Существует общепризнанное мнение, что чрезмерно высокий уровень налогов – это негативное явление, порождающее спад производства, снижение предпринимательской активности, трудовой и инвестиционной инициативы, а также массовое стремление хозяйствующих субъектов к сокрытию доходов, усиление социальной напряженности и инфляционных процессов. </w:t>
      </w:r>
    </w:p>
    <w:p w14:paraId="73BF625C" w14:textId="77777777" w:rsidR="00CC4C68" w:rsidRPr="000B795F" w:rsidRDefault="00CC4C68" w:rsidP="00CC4C68">
      <w:pPr>
        <w:ind w:firstLine="709"/>
        <w:jc w:val="both"/>
        <w:rPr>
          <w:b/>
          <w:sz w:val="22"/>
          <w:szCs w:val="22"/>
        </w:rPr>
      </w:pPr>
      <w:r w:rsidRPr="000B795F">
        <w:rPr>
          <w:b/>
          <w:sz w:val="22"/>
          <w:szCs w:val="22"/>
        </w:rPr>
        <w:t xml:space="preserve">3 вопрос. Инвестиционные налоговые преференции </w:t>
      </w:r>
    </w:p>
    <w:p w14:paraId="102D5FA8"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В период становления Казахстана как нового независимого государства, делающего первые шаги к рыночным отношениям, одной из первоочередных задач, стоящих перед государством, было привлечение иностранного капитала. Для этих целей была разработана и запущена в действие целая программа, подкрепленная законодательной базой в области инвестиций.</w:t>
      </w:r>
    </w:p>
    <w:p w14:paraId="37BB69CD"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lastRenderedPageBreak/>
        <w:t>Так 27 декабря 1994 года был принят Закон РК «Об иностранных инвестициях», который 23 марта 1995 года указом Президента РК был признан действующим и обладающим юридической силой. Настоящий закон определил основные правовые и экономические основы привлечения иностранных инвестиций в экономику Республики Казахстан, закрепил государственные гарантии защиты иностранных инвестиций, определил организационные формы их осуществления, а также порядок разрешения споров с участием иностранных инвесторов. Данный закон просуществует до 8 января 2003 года, когда вместо него будет принят новый Закон РК «Об инвестициях».</w:t>
      </w:r>
    </w:p>
    <w:p w14:paraId="2BD6B909"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28 февраля 1997 года принимается Закон РК «О государственной поддержке прямых инвестиций», в котором были прописаны основные меры стимулирования для реализации инвестиционных проектов, а также условия и порядок заключения и расторжения инвестиционного контракта.</w:t>
      </w:r>
    </w:p>
    <w:p w14:paraId="678566C2"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Кроме того, 5 апреля 1997 года Указом Президента РК «Об утверждении положения о системе льгот и преференций и порядке их предоставления при заключении контрактов с инвесторами» за №3445, было принято Положение, основной целью которого было регулирование вопросов предоставления льгот и преференций при заключении контрактов между Государственным комитетом Республики Казахстан по инвестициям и инвесторами. Данный указ стал основой ныне действующей системы инвестиционных преференций Республики Казахстан.</w:t>
      </w:r>
    </w:p>
    <w:p w14:paraId="03C40E2D" w14:textId="77777777" w:rsidR="00CC4C68" w:rsidRPr="000B795F" w:rsidRDefault="00CC4C68" w:rsidP="00CC4C68">
      <w:pPr>
        <w:ind w:firstLine="709"/>
        <w:jc w:val="both"/>
        <w:rPr>
          <w:sz w:val="22"/>
          <w:szCs w:val="22"/>
        </w:rPr>
      </w:pPr>
      <w:r w:rsidRPr="000B795F">
        <w:rPr>
          <w:color w:val="231F20"/>
          <w:sz w:val="22"/>
          <w:szCs w:val="22"/>
          <w:shd w:val="clear" w:color="auto" w:fill="FFFFFF"/>
        </w:rPr>
        <w:t xml:space="preserve">Позже 7 августа 1998 года Государственный комитет Республики Казахстан по инвестициям своим постановлением №131 «О совершенствовании процедуры предоставления льгот» устанавливает предельный размер объема прямых инвестиций в основной капитал при применении стандартных налоговых льгот (10 </w:t>
      </w:r>
      <w:proofErr w:type="gramStart"/>
      <w:r w:rsidRPr="000B795F">
        <w:rPr>
          <w:color w:val="231F20"/>
          <w:sz w:val="22"/>
          <w:szCs w:val="22"/>
          <w:shd w:val="clear" w:color="auto" w:fill="FFFFFF"/>
        </w:rPr>
        <w:t>млн.</w:t>
      </w:r>
      <w:proofErr w:type="gramEnd"/>
      <w:r w:rsidRPr="000B795F">
        <w:rPr>
          <w:color w:val="231F20"/>
          <w:sz w:val="22"/>
          <w:szCs w:val="22"/>
          <w:shd w:val="clear" w:color="auto" w:fill="FFFFFF"/>
        </w:rPr>
        <w:t xml:space="preserve"> долларов США). Также были утверждены:</w:t>
      </w:r>
    </w:p>
    <w:p w14:paraId="136084D4" w14:textId="77777777" w:rsidR="00CC4C68" w:rsidRPr="000B795F" w:rsidRDefault="00CC4C68" w:rsidP="00CC4C68">
      <w:pPr>
        <w:numPr>
          <w:ilvl w:val="0"/>
          <w:numId w:val="2"/>
        </w:numPr>
        <w:shd w:val="clear" w:color="auto" w:fill="FFFFFF"/>
        <w:tabs>
          <w:tab w:val="clear" w:pos="360"/>
          <w:tab w:val="num" w:pos="720"/>
        </w:tabs>
        <w:ind w:left="0" w:firstLine="709"/>
        <w:jc w:val="both"/>
        <w:rPr>
          <w:color w:val="231F20"/>
          <w:sz w:val="22"/>
          <w:szCs w:val="22"/>
        </w:rPr>
      </w:pPr>
      <w:r w:rsidRPr="000B795F">
        <w:rPr>
          <w:color w:val="231F20"/>
          <w:sz w:val="22"/>
          <w:szCs w:val="22"/>
        </w:rPr>
        <w:t>1. Список наиболее важных производств для привлечения прямых отечественных и иностранных инвестиций на период до 2000 года.</w:t>
      </w:r>
    </w:p>
    <w:p w14:paraId="78D4807E" w14:textId="77777777" w:rsidR="00CC4C68" w:rsidRPr="000B795F" w:rsidRDefault="00CC4C68" w:rsidP="00CC4C68">
      <w:pPr>
        <w:numPr>
          <w:ilvl w:val="0"/>
          <w:numId w:val="2"/>
        </w:numPr>
        <w:shd w:val="clear" w:color="auto" w:fill="FFFFFF"/>
        <w:tabs>
          <w:tab w:val="clear" w:pos="360"/>
          <w:tab w:val="num" w:pos="720"/>
        </w:tabs>
        <w:ind w:left="0" w:firstLine="709"/>
        <w:jc w:val="both"/>
        <w:rPr>
          <w:color w:val="231F20"/>
          <w:sz w:val="22"/>
          <w:szCs w:val="22"/>
        </w:rPr>
      </w:pPr>
      <w:r w:rsidRPr="000B795F">
        <w:rPr>
          <w:color w:val="231F20"/>
          <w:sz w:val="22"/>
          <w:szCs w:val="22"/>
        </w:rPr>
        <w:t>2. Положение «О размерах и порядке предоставления стандартных налоговых льгот при осуществлении инвестиционной деятельности.</w:t>
      </w:r>
    </w:p>
    <w:p w14:paraId="0B526CEB" w14:textId="77777777" w:rsidR="00CC4C68" w:rsidRPr="000B795F" w:rsidRDefault="00CC4C68" w:rsidP="00CC4C68">
      <w:pPr>
        <w:numPr>
          <w:ilvl w:val="0"/>
          <w:numId w:val="2"/>
        </w:numPr>
        <w:shd w:val="clear" w:color="auto" w:fill="FFFFFF"/>
        <w:tabs>
          <w:tab w:val="clear" w:pos="360"/>
          <w:tab w:val="num" w:pos="720"/>
        </w:tabs>
        <w:ind w:left="0" w:firstLine="709"/>
        <w:jc w:val="both"/>
        <w:rPr>
          <w:color w:val="231F20"/>
          <w:sz w:val="22"/>
          <w:szCs w:val="22"/>
        </w:rPr>
      </w:pPr>
      <w:r w:rsidRPr="000B795F">
        <w:rPr>
          <w:color w:val="231F20"/>
          <w:sz w:val="22"/>
          <w:szCs w:val="22"/>
        </w:rPr>
        <w:t>3. Заявка на получение стандартных налоговых льгот при осуществлении инвестиционной деятельности.</w:t>
      </w:r>
    </w:p>
    <w:p w14:paraId="742932AF" w14:textId="77777777" w:rsidR="00CC4C68" w:rsidRPr="000B795F" w:rsidRDefault="00CC4C68" w:rsidP="00CC4C68">
      <w:pPr>
        <w:ind w:firstLine="709"/>
        <w:jc w:val="both"/>
        <w:rPr>
          <w:b/>
          <w:i/>
          <w:color w:val="000000"/>
          <w:sz w:val="22"/>
          <w:szCs w:val="22"/>
        </w:rPr>
      </w:pPr>
      <w:r w:rsidRPr="000B795F">
        <w:rPr>
          <w:b/>
          <w:i/>
          <w:color w:val="000000"/>
          <w:sz w:val="22"/>
          <w:szCs w:val="22"/>
        </w:rPr>
        <w:t xml:space="preserve">Порядок применения инвестиционных налоговых преференций </w:t>
      </w:r>
    </w:p>
    <w:p w14:paraId="6B8A5011"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Согласно Новому налоговому кодексу РК в Казахстане действует только один вид инвестиционных «налоговых» преференций, такой как право юридических лиц Республики Казахстан относить на вычеты стоимость зданий и сооружений производственного назначения, машин и оборудования, предназначенных для использования при осуществлении инвестиций в приоритетные виды экономической деятельности Казахстана (статья 123 Нового Налогового кодекса РК).</w:t>
      </w:r>
    </w:p>
    <w:p w14:paraId="342E9CFB"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Согласно пункту 1 статьи 125 Нового налогового кодекса РК преференции по корпоративному подоходному налогу дают право относить на вычеты первоначальную стоимость зданий и сооружений производственного назначения, в том числе в период строительства, машин и оборудования равными долями в течение трех лет либо единовременно при осуществлении расходов по строительству или приобретению.</w:t>
      </w:r>
    </w:p>
    <w:p w14:paraId="7B4905F2"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Право вычетов предоставляется только по видам деятельности, предусмотренным секцией D общего классификатора видов экономической деятельности, утвержденного уполномоченным государственным органом по стандартизации.</w:t>
      </w:r>
    </w:p>
    <w:p w14:paraId="3B762108"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Налоговые льготы в виде 100%-го освобождения от уплаты корпоративного подоходного налога, земельного налога и налога на имущество по Новому налоговому кодексу не предусмотрены.</w:t>
      </w:r>
    </w:p>
    <w:p w14:paraId="3DDDFD28"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Что касается инвестиционных контрактов, заключенных до 1 января 2009 года, инвестиционные налоговые преференции по ним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p>
    <w:p w14:paraId="0845CBCA"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t>Тем не менее, по задумкам законодателя отмена значительной части инвестиционных налоговых преференций компенсируется пониженной ставкой по корпоративному подоходному налогу. Так, в соответствии с пунктом 1 статьи 147 Нового налогового кодекса РК налогооблагаемый доход налогоплательщика, уменьшенный на сумму доходов и расходов, предусмотренных статьей 133 настоящего кодекса («Уменьшение налогооблагаемого дохода»), и на сумму убытков, переносимых в порядке, установленном статьей 137 настоящего Кодекса («Перенос убытков»), подлежит обложению налогом по ставке 20 процентов.</w:t>
      </w:r>
    </w:p>
    <w:p w14:paraId="78A7B934" w14:textId="77777777" w:rsidR="00CC4C68" w:rsidRPr="000B795F" w:rsidRDefault="00CC4C68" w:rsidP="00CC4C68">
      <w:pPr>
        <w:ind w:firstLine="709"/>
        <w:jc w:val="both"/>
        <w:rPr>
          <w:color w:val="231F20"/>
          <w:sz w:val="22"/>
          <w:szCs w:val="22"/>
          <w:shd w:val="clear" w:color="auto" w:fill="FFFFFF"/>
        </w:rPr>
      </w:pPr>
      <w:r w:rsidRPr="000B795F">
        <w:rPr>
          <w:color w:val="231F20"/>
          <w:sz w:val="22"/>
          <w:szCs w:val="22"/>
          <w:shd w:val="clear" w:color="auto" w:fill="FFFFFF"/>
        </w:rPr>
        <w:lastRenderedPageBreak/>
        <w:t>При этом насколько рентабельно капиталовложение в Казахстанскую экономику при таком раскладе дел станет ясно только после соответствующего финансового анализа инвестиционного проекта. Но одно очевидно, время великих инвестиционных налоговых преференций подошло к концу.</w:t>
      </w:r>
    </w:p>
    <w:p w14:paraId="55790244" w14:textId="77777777" w:rsidR="00CC4C68" w:rsidRPr="000B795F" w:rsidRDefault="00CC4C68" w:rsidP="00CC4C68">
      <w:pPr>
        <w:numPr>
          <w:ilvl w:val="0"/>
          <w:numId w:val="4"/>
        </w:numPr>
        <w:ind w:left="0" w:firstLine="709"/>
        <w:jc w:val="both"/>
        <w:rPr>
          <w:sz w:val="22"/>
          <w:szCs w:val="22"/>
        </w:rPr>
      </w:pPr>
      <w:r w:rsidRPr="000B795F">
        <w:rPr>
          <w:b/>
          <w:bCs/>
          <w:sz w:val="22"/>
          <w:szCs w:val="22"/>
        </w:rPr>
        <w:t>Право на применение преференций</w:t>
      </w:r>
    </w:p>
    <w:p w14:paraId="1E58C6A4" w14:textId="77777777" w:rsidR="00CC4C68" w:rsidRPr="000B795F" w:rsidRDefault="00CC4C68" w:rsidP="00CC4C68">
      <w:pPr>
        <w:ind w:firstLine="709"/>
        <w:jc w:val="both"/>
        <w:rPr>
          <w:sz w:val="22"/>
          <w:szCs w:val="22"/>
        </w:rPr>
      </w:pPr>
      <w:r w:rsidRPr="000B795F">
        <w:rPr>
          <w:sz w:val="22"/>
          <w:szCs w:val="22"/>
        </w:rPr>
        <w:t xml:space="preserve">имеют юридические лица РК, </w:t>
      </w:r>
      <w:r w:rsidRPr="000B795F">
        <w:rPr>
          <w:b/>
          <w:bCs/>
          <w:sz w:val="22"/>
          <w:szCs w:val="22"/>
        </w:rPr>
        <w:t xml:space="preserve">за исключением </w:t>
      </w:r>
      <w:r w:rsidRPr="000B795F">
        <w:rPr>
          <w:sz w:val="22"/>
          <w:szCs w:val="22"/>
        </w:rPr>
        <w:t>налогоплательщиков, соответствующим следующим условиям:</w:t>
      </w:r>
    </w:p>
    <w:p w14:paraId="4EC9568C" w14:textId="77777777" w:rsidR="00CC4C68" w:rsidRPr="000B795F" w:rsidRDefault="00CC4C68" w:rsidP="00CC4C68">
      <w:pPr>
        <w:numPr>
          <w:ilvl w:val="0"/>
          <w:numId w:val="5"/>
        </w:numPr>
        <w:ind w:left="0" w:firstLine="709"/>
        <w:jc w:val="both"/>
        <w:rPr>
          <w:sz w:val="22"/>
          <w:szCs w:val="22"/>
        </w:rPr>
      </w:pPr>
      <w:r w:rsidRPr="000B795F">
        <w:rPr>
          <w:sz w:val="22"/>
          <w:szCs w:val="22"/>
        </w:rPr>
        <w:t xml:space="preserve">1) налогоплательщик осуществляет деятельность на территориях специальных экономических зон; </w:t>
      </w:r>
    </w:p>
    <w:p w14:paraId="1D0A11F4" w14:textId="77777777" w:rsidR="00CC4C68" w:rsidRPr="000B795F" w:rsidRDefault="00CC4C68" w:rsidP="00CC4C68">
      <w:pPr>
        <w:numPr>
          <w:ilvl w:val="0"/>
          <w:numId w:val="5"/>
        </w:numPr>
        <w:ind w:left="0" w:firstLine="709"/>
        <w:jc w:val="both"/>
        <w:rPr>
          <w:sz w:val="22"/>
          <w:szCs w:val="22"/>
        </w:rPr>
      </w:pPr>
      <w:r w:rsidRPr="000B795F">
        <w:rPr>
          <w:sz w:val="22"/>
          <w:szCs w:val="22"/>
        </w:rPr>
        <w:t>2) налогоплательщик осуществляет производство и (или) реализацию подакцизных товаров: спирт, алкогольная продукция, пиво, табачные изделия;</w:t>
      </w:r>
    </w:p>
    <w:p w14:paraId="265F6FFF" w14:textId="77777777" w:rsidR="00CC4C68" w:rsidRPr="000B795F" w:rsidRDefault="00CC4C68" w:rsidP="00CC4C68">
      <w:pPr>
        <w:numPr>
          <w:ilvl w:val="0"/>
          <w:numId w:val="5"/>
        </w:numPr>
        <w:ind w:left="0" w:firstLine="709"/>
        <w:jc w:val="both"/>
        <w:rPr>
          <w:sz w:val="22"/>
          <w:szCs w:val="22"/>
        </w:rPr>
      </w:pPr>
      <w:r w:rsidRPr="000B795F">
        <w:rPr>
          <w:sz w:val="22"/>
          <w:szCs w:val="22"/>
        </w:rPr>
        <w:t>3) налогоплательщик применяет специальный налоговый режим для юридических лиц – производителей с/х продукции и сельских потребительских кооперативов.</w:t>
      </w:r>
    </w:p>
    <w:p w14:paraId="36583F83" w14:textId="77777777" w:rsidR="00CC4C68" w:rsidRPr="000B795F" w:rsidRDefault="00CC4C68" w:rsidP="00CC4C68">
      <w:pPr>
        <w:ind w:firstLine="709"/>
        <w:jc w:val="both"/>
        <w:rPr>
          <w:sz w:val="22"/>
          <w:szCs w:val="22"/>
        </w:rPr>
      </w:pPr>
      <w:r w:rsidRPr="000B795F">
        <w:rPr>
          <w:sz w:val="22"/>
          <w:szCs w:val="22"/>
        </w:rPr>
        <w:t>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14:paraId="72894F11" w14:textId="77777777" w:rsidR="00CC4C68" w:rsidRPr="000B795F" w:rsidRDefault="00CC4C68" w:rsidP="00CC4C68">
      <w:pPr>
        <w:ind w:firstLine="709"/>
        <w:jc w:val="both"/>
        <w:rPr>
          <w:sz w:val="22"/>
          <w:szCs w:val="22"/>
        </w:rPr>
      </w:pPr>
      <w:r w:rsidRPr="000B795F">
        <w:rPr>
          <w:sz w:val="22"/>
          <w:szCs w:val="22"/>
          <w:lang w:val="en"/>
        </w:rPr>
        <w:t>    </w:t>
      </w:r>
      <w:r w:rsidRPr="000B795F">
        <w:rPr>
          <w:sz w:val="22"/>
          <w:szCs w:val="22"/>
        </w:rPr>
        <w:t xml:space="preserve"> </w:t>
      </w:r>
      <w:r w:rsidRPr="000B795F">
        <w:rPr>
          <w:sz w:val="22"/>
          <w:szCs w:val="22"/>
          <w:lang w:val="en"/>
        </w:rPr>
        <w:t> </w:t>
      </w:r>
      <w:r w:rsidRPr="000B795F">
        <w:rPr>
          <w:sz w:val="22"/>
          <w:szCs w:val="22"/>
        </w:rPr>
        <w:t xml:space="preserve">1) являются </w:t>
      </w:r>
      <w:proofErr w:type="gramStart"/>
      <w:r w:rsidRPr="000B795F">
        <w:rPr>
          <w:sz w:val="22"/>
          <w:szCs w:val="22"/>
        </w:rPr>
        <w:t>активами ,</w:t>
      </w:r>
      <w:proofErr w:type="gramEnd"/>
      <w:r w:rsidRPr="000B795F">
        <w:rPr>
          <w:sz w:val="22"/>
          <w:szCs w:val="22"/>
        </w:rPr>
        <w:t xml:space="preserve"> указанными в</w:t>
      </w:r>
      <w:r w:rsidRPr="000B795F">
        <w:rPr>
          <w:sz w:val="22"/>
          <w:szCs w:val="22"/>
          <w:lang w:val="en"/>
        </w:rPr>
        <w:t> </w:t>
      </w:r>
      <w:r w:rsidRPr="000B795F">
        <w:rPr>
          <w:sz w:val="22"/>
          <w:szCs w:val="22"/>
        </w:rPr>
        <w:t xml:space="preserve">подпункте 2) пункта 1 статьи 116 настоящего Кодекса, или основными средствами; </w:t>
      </w:r>
    </w:p>
    <w:p w14:paraId="18AB2E26" w14:textId="77777777" w:rsidR="00CC4C68" w:rsidRPr="000B795F" w:rsidRDefault="00CC4C68" w:rsidP="00CC4C68">
      <w:pPr>
        <w:ind w:firstLine="709"/>
        <w:jc w:val="both"/>
        <w:rPr>
          <w:sz w:val="22"/>
          <w:szCs w:val="22"/>
        </w:rPr>
      </w:pPr>
      <w:r w:rsidRPr="000B795F">
        <w:rPr>
          <w:sz w:val="22"/>
          <w:szCs w:val="22"/>
          <w:lang w:val="en"/>
        </w:rPr>
        <w:t>     </w:t>
      </w:r>
      <w:r w:rsidRPr="000B795F">
        <w:rPr>
          <w:sz w:val="22"/>
          <w:szCs w:val="22"/>
        </w:rPr>
        <w:t xml:space="preserve"> 2) используются налогоплательщиком, применившим преференции, в деятельности, направленной на получение дохода; </w:t>
      </w:r>
    </w:p>
    <w:p w14:paraId="7A161BBA" w14:textId="77777777" w:rsidR="00CC4C68" w:rsidRPr="000B795F" w:rsidRDefault="00CC4C68" w:rsidP="00CC4C68">
      <w:pPr>
        <w:ind w:firstLine="709"/>
        <w:jc w:val="both"/>
        <w:rPr>
          <w:sz w:val="22"/>
          <w:szCs w:val="22"/>
        </w:rPr>
      </w:pPr>
      <w:r w:rsidRPr="000B795F">
        <w:rPr>
          <w:sz w:val="22"/>
          <w:szCs w:val="22"/>
          <w:lang w:val="en"/>
        </w:rPr>
        <w:t>     </w:t>
      </w:r>
      <w:r w:rsidRPr="000B795F">
        <w:rPr>
          <w:sz w:val="22"/>
          <w:szCs w:val="22"/>
        </w:rPr>
        <w:t xml:space="preserve"> 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w:t>
      </w:r>
    </w:p>
    <w:p w14:paraId="3D32AA0D" w14:textId="77777777" w:rsidR="00CC4C68" w:rsidRPr="000B795F" w:rsidRDefault="00CC4C68" w:rsidP="00CC4C68">
      <w:pPr>
        <w:ind w:firstLine="709"/>
        <w:jc w:val="both"/>
        <w:rPr>
          <w:sz w:val="22"/>
          <w:szCs w:val="22"/>
        </w:rPr>
      </w:pPr>
      <w:r w:rsidRPr="000B795F">
        <w:rPr>
          <w:sz w:val="22"/>
          <w:szCs w:val="22"/>
          <w:lang w:val="en"/>
        </w:rPr>
        <w:t>     </w:t>
      </w:r>
      <w:r w:rsidRPr="000B795F">
        <w:rPr>
          <w:sz w:val="22"/>
          <w:szCs w:val="22"/>
        </w:rPr>
        <w:t xml:space="preserve">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w:t>
      </w:r>
      <w:proofErr w:type="spellStart"/>
      <w:r w:rsidRPr="000B795F">
        <w:rPr>
          <w:sz w:val="22"/>
          <w:szCs w:val="22"/>
        </w:rPr>
        <w:t>внеконтрактной</w:t>
      </w:r>
      <w:proofErr w:type="spellEnd"/>
      <w:r w:rsidRPr="000B795F">
        <w:rPr>
          <w:sz w:val="22"/>
          <w:szCs w:val="22"/>
        </w:rPr>
        <w:t xml:space="preserve"> деятельностью</w:t>
      </w:r>
    </w:p>
    <w:p w14:paraId="5BB29BBF" w14:textId="77777777" w:rsidR="00CC4C68" w:rsidRPr="000B795F" w:rsidRDefault="00CC4C68" w:rsidP="00CC4C68">
      <w:pPr>
        <w:ind w:firstLine="709"/>
        <w:jc w:val="both"/>
        <w:rPr>
          <w:sz w:val="22"/>
          <w:szCs w:val="22"/>
        </w:rPr>
      </w:pPr>
      <w:r w:rsidRPr="000B795F">
        <w:rPr>
          <w:sz w:val="22"/>
          <w:szCs w:val="22"/>
          <w:lang w:val="en"/>
        </w:rPr>
        <w:t>     </w:t>
      </w:r>
      <w:r w:rsidRPr="000B795F">
        <w:rPr>
          <w:sz w:val="22"/>
          <w:szCs w:val="22"/>
        </w:rPr>
        <w:t xml:space="preserve">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p>
    <w:p w14:paraId="6E0DE538" w14:textId="77777777" w:rsidR="00CC4C68" w:rsidRPr="000B795F" w:rsidRDefault="00CC4C68" w:rsidP="00CC4C68">
      <w:pPr>
        <w:pStyle w:val="a6"/>
        <w:spacing w:before="0" w:beforeAutospacing="0" w:after="0" w:afterAutospacing="0"/>
        <w:ind w:firstLine="709"/>
        <w:jc w:val="both"/>
        <w:rPr>
          <w:b/>
          <w:bCs/>
          <w:color w:val="000080"/>
          <w:sz w:val="22"/>
          <w:szCs w:val="22"/>
        </w:rPr>
      </w:pPr>
    </w:p>
    <w:p w14:paraId="261F98B2" w14:textId="77777777" w:rsidR="00CC4C68" w:rsidRPr="000B795F" w:rsidRDefault="00CC4C68" w:rsidP="00CC4C68">
      <w:pPr>
        <w:pStyle w:val="a6"/>
        <w:spacing w:before="0" w:beforeAutospacing="0" w:after="0" w:afterAutospacing="0"/>
        <w:ind w:firstLine="709"/>
        <w:jc w:val="both"/>
        <w:rPr>
          <w:sz w:val="22"/>
          <w:szCs w:val="22"/>
        </w:rPr>
      </w:pPr>
      <w:r w:rsidRPr="000B795F">
        <w:rPr>
          <w:b/>
          <w:bCs/>
          <w:sz w:val="22"/>
          <w:szCs w:val="22"/>
        </w:rPr>
        <w:t xml:space="preserve">Применение преференций </w:t>
      </w:r>
    </w:p>
    <w:p w14:paraId="2531A82D" w14:textId="77777777" w:rsidR="00CC4C68" w:rsidRPr="000B795F" w:rsidRDefault="00CC4C68" w:rsidP="00CC4C68">
      <w:pPr>
        <w:pStyle w:val="a6"/>
        <w:numPr>
          <w:ilvl w:val="0"/>
          <w:numId w:val="6"/>
        </w:numPr>
        <w:spacing w:before="0" w:beforeAutospacing="0" w:after="0" w:afterAutospacing="0"/>
        <w:ind w:left="0" w:firstLine="709"/>
        <w:jc w:val="both"/>
        <w:rPr>
          <w:sz w:val="22"/>
          <w:szCs w:val="22"/>
        </w:rPr>
      </w:pPr>
      <w:r w:rsidRPr="000B795F">
        <w:rPr>
          <w:sz w:val="22"/>
          <w:szCs w:val="22"/>
        </w:rPr>
        <w:t xml:space="preserve">Применение преференций осуществляется по одному из следующих методов: </w:t>
      </w:r>
    </w:p>
    <w:p w14:paraId="7D0D9312" w14:textId="77777777" w:rsidR="00CC4C68" w:rsidRPr="000B795F" w:rsidRDefault="00CC4C68" w:rsidP="00CC4C68">
      <w:pPr>
        <w:pStyle w:val="a6"/>
        <w:spacing w:before="0" w:beforeAutospacing="0" w:after="0" w:afterAutospacing="0"/>
        <w:ind w:firstLine="709"/>
        <w:jc w:val="both"/>
        <w:rPr>
          <w:sz w:val="22"/>
          <w:szCs w:val="22"/>
        </w:rPr>
      </w:pPr>
      <w:r w:rsidRPr="000B795F">
        <w:rPr>
          <w:sz w:val="22"/>
          <w:szCs w:val="22"/>
          <w:lang w:val="en"/>
        </w:rPr>
        <w:t>     </w:t>
      </w:r>
      <w:r w:rsidRPr="000B795F">
        <w:rPr>
          <w:sz w:val="22"/>
          <w:szCs w:val="22"/>
        </w:rPr>
        <w:t xml:space="preserve"> 1) методу вычета после ввода объекта в эксплуатацию; </w:t>
      </w:r>
    </w:p>
    <w:p w14:paraId="0CD019BF" w14:textId="77777777" w:rsidR="00CC4C68" w:rsidRPr="000B795F" w:rsidRDefault="00CC4C68" w:rsidP="00CC4C68">
      <w:pPr>
        <w:pStyle w:val="a6"/>
        <w:spacing w:before="0" w:beforeAutospacing="0" w:after="0" w:afterAutospacing="0"/>
        <w:ind w:firstLine="709"/>
        <w:jc w:val="both"/>
        <w:rPr>
          <w:sz w:val="22"/>
          <w:szCs w:val="22"/>
        </w:rPr>
      </w:pPr>
      <w:r w:rsidRPr="000B795F">
        <w:rPr>
          <w:sz w:val="22"/>
          <w:szCs w:val="22"/>
          <w:lang w:val="en"/>
        </w:rPr>
        <w:t>     </w:t>
      </w:r>
      <w:r w:rsidRPr="000B795F">
        <w:rPr>
          <w:sz w:val="22"/>
          <w:szCs w:val="22"/>
        </w:rPr>
        <w:t xml:space="preserve"> 2) методу вычета до ввода объекта в эксплуатацию. </w:t>
      </w:r>
    </w:p>
    <w:p w14:paraId="26785FC6" w14:textId="77777777" w:rsidR="00CC4C68" w:rsidRPr="000B795F" w:rsidRDefault="00CC4C68" w:rsidP="00CC4C68">
      <w:pPr>
        <w:pStyle w:val="a6"/>
        <w:numPr>
          <w:ilvl w:val="0"/>
          <w:numId w:val="6"/>
        </w:numPr>
        <w:spacing w:before="0" w:beforeAutospacing="0" w:after="0" w:afterAutospacing="0"/>
        <w:ind w:left="0" w:firstLine="709"/>
        <w:jc w:val="both"/>
        <w:rPr>
          <w:sz w:val="22"/>
          <w:szCs w:val="22"/>
        </w:rPr>
      </w:pPr>
      <w:r w:rsidRPr="000B795F">
        <w:rPr>
          <w:sz w:val="22"/>
          <w:szCs w:val="22"/>
        </w:rPr>
        <w:t>Применение метода вычета после ввода объекта в эксплуатацию заключается в отнесении на вычеты первоначальной стоимости объектов преференций, определенной в соответствии с</w:t>
      </w:r>
      <w:r w:rsidRPr="000B795F">
        <w:rPr>
          <w:sz w:val="22"/>
          <w:szCs w:val="22"/>
          <w:lang w:val="en"/>
        </w:rPr>
        <w:t> </w:t>
      </w:r>
      <w:r w:rsidRPr="000B795F">
        <w:rPr>
          <w:sz w:val="22"/>
          <w:szCs w:val="22"/>
        </w:rPr>
        <w:t>пунктами 2 и</w:t>
      </w:r>
      <w:r w:rsidRPr="000B795F">
        <w:rPr>
          <w:sz w:val="22"/>
          <w:szCs w:val="22"/>
          <w:lang w:val="en"/>
        </w:rPr>
        <w:t> </w:t>
      </w:r>
      <w:r w:rsidRPr="000B795F">
        <w:rPr>
          <w:sz w:val="22"/>
          <w:szCs w:val="22"/>
        </w:rPr>
        <w:t xml:space="preserve">3 статьи 125 Налогового Кодекса, равными долями в течение первых трех налоговых периодов эксплуатации или единовременно в налоговом периоде, в котором осуществлен ввод в эксплуатацию. </w:t>
      </w:r>
    </w:p>
    <w:p w14:paraId="72FEE8EC" w14:textId="77777777" w:rsidR="00CC4C68" w:rsidRPr="000B795F" w:rsidRDefault="00CC4C68" w:rsidP="00CC4C68">
      <w:pPr>
        <w:pStyle w:val="a6"/>
        <w:numPr>
          <w:ilvl w:val="0"/>
          <w:numId w:val="6"/>
        </w:numPr>
        <w:spacing w:before="0" w:beforeAutospacing="0" w:after="0" w:afterAutospacing="0"/>
        <w:ind w:left="0" w:firstLine="709"/>
        <w:jc w:val="both"/>
        <w:rPr>
          <w:sz w:val="22"/>
          <w:szCs w:val="22"/>
        </w:rPr>
      </w:pPr>
      <w:r w:rsidRPr="000B795F">
        <w:rPr>
          <w:sz w:val="22"/>
          <w:szCs w:val="22"/>
        </w:rPr>
        <w:t xml:space="preserve">Применение метода вычета до ввода объекта в эксплуатацию заключается в отнесении на вычеты затрат на строительство, производство, приобретение, монтаж и установку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до ввода их в эксплуатацию в налоговом периоде, в котором фактически произведены такие затраты. </w:t>
      </w:r>
    </w:p>
    <w:p w14:paraId="383A9634" w14:textId="77777777" w:rsidR="00CC4C68" w:rsidRPr="000B795F" w:rsidRDefault="00CC4C68" w:rsidP="00CC4C68">
      <w:pPr>
        <w:pStyle w:val="a6"/>
        <w:numPr>
          <w:ilvl w:val="0"/>
          <w:numId w:val="6"/>
        </w:numPr>
        <w:spacing w:before="0" w:beforeAutospacing="0" w:after="0" w:afterAutospacing="0"/>
        <w:ind w:left="0" w:firstLine="709"/>
        <w:jc w:val="both"/>
        <w:rPr>
          <w:sz w:val="22"/>
          <w:szCs w:val="22"/>
        </w:rPr>
      </w:pPr>
      <w:r w:rsidRPr="000B795F">
        <w:rPr>
          <w:sz w:val="22"/>
          <w:szCs w:val="22"/>
        </w:rPr>
        <w:t xml:space="preserve">Преференции аннулируются с момента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 </w:t>
      </w:r>
    </w:p>
    <w:p w14:paraId="3AA11518" w14:textId="77777777" w:rsidR="00CC4C68" w:rsidRPr="000B795F" w:rsidRDefault="00CC4C68" w:rsidP="00CC4C68">
      <w:pPr>
        <w:pStyle w:val="a6"/>
        <w:numPr>
          <w:ilvl w:val="0"/>
          <w:numId w:val="7"/>
        </w:numPr>
        <w:spacing w:before="0" w:beforeAutospacing="0" w:after="0" w:afterAutospacing="0"/>
        <w:ind w:left="0" w:firstLine="709"/>
        <w:jc w:val="both"/>
        <w:rPr>
          <w:sz w:val="22"/>
          <w:szCs w:val="22"/>
        </w:rPr>
      </w:pPr>
      <w:r w:rsidRPr="000B795F">
        <w:rPr>
          <w:sz w:val="22"/>
          <w:szCs w:val="22"/>
        </w:rPr>
        <w:t>налогоплательщиком допущено нарушение положений</w:t>
      </w:r>
      <w:r w:rsidRPr="000B795F">
        <w:rPr>
          <w:sz w:val="22"/>
          <w:szCs w:val="22"/>
          <w:lang w:val="en"/>
        </w:rPr>
        <w:t> </w:t>
      </w:r>
      <w:r w:rsidRPr="000B795F">
        <w:rPr>
          <w:sz w:val="22"/>
          <w:szCs w:val="22"/>
        </w:rPr>
        <w:t xml:space="preserve">пунктов 2 </w:t>
      </w:r>
      <w:proofErr w:type="gramStart"/>
      <w:r w:rsidRPr="000B795F">
        <w:rPr>
          <w:sz w:val="22"/>
          <w:szCs w:val="22"/>
        </w:rPr>
        <w:t xml:space="preserve">- </w:t>
      </w:r>
      <w:r w:rsidRPr="000B795F">
        <w:rPr>
          <w:sz w:val="22"/>
          <w:szCs w:val="22"/>
          <w:lang w:val="en"/>
        </w:rPr>
        <w:t> </w:t>
      </w:r>
      <w:r w:rsidRPr="000B795F">
        <w:rPr>
          <w:sz w:val="22"/>
          <w:szCs w:val="22"/>
        </w:rPr>
        <w:t>4</w:t>
      </w:r>
      <w:proofErr w:type="gramEnd"/>
      <w:r w:rsidRPr="000B795F">
        <w:rPr>
          <w:sz w:val="22"/>
          <w:szCs w:val="22"/>
        </w:rPr>
        <w:t xml:space="preserve"> </w:t>
      </w:r>
      <w:r w:rsidRPr="000B795F">
        <w:rPr>
          <w:sz w:val="22"/>
          <w:szCs w:val="22"/>
          <w:lang w:val="en"/>
        </w:rPr>
        <w:t> </w:t>
      </w:r>
      <w:r w:rsidRPr="000B795F">
        <w:rPr>
          <w:sz w:val="22"/>
          <w:szCs w:val="22"/>
        </w:rPr>
        <w:t xml:space="preserve">статьи 123 настоящего Кодекса; </w:t>
      </w:r>
    </w:p>
    <w:p w14:paraId="50B30924" w14:textId="77777777" w:rsidR="00CC4C68" w:rsidRPr="000B795F" w:rsidRDefault="00CC4C68" w:rsidP="00CC4C68">
      <w:pPr>
        <w:pStyle w:val="a6"/>
        <w:numPr>
          <w:ilvl w:val="0"/>
          <w:numId w:val="7"/>
        </w:numPr>
        <w:spacing w:before="0" w:beforeAutospacing="0" w:after="0" w:afterAutospacing="0"/>
        <w:ind w:left="0" w:firstLine="709"/>
        <w:jc w:val="both"/>
        <w:rPr>
          <w:sz w:val="22"/>
          <w:szCs w:val="22"/>
        </w:rPr>
      </w:pPr>
      <w:r w:rsidRPr="000B795F">
        <w:rPr>
          <w:sz w:val="22"/>
          <w:szCs w:val="22"/>
          <w:lang w:val="en"/>
        </w:rPr>
        <w:t>     </w:t>
      </w:r>
      <w:r w:rsidRPr="000B795F">
        <w:rPr>
          <w:sz w:val="22"/>
          <w:szCs w:val="22"/>
        </w:rPr>
        <w:t xml:space="preserve"> наступил случай, когда налогоплательщик, применивший преференции, или его правопреемник, в случае реорганизации такого налогоплательщика, соответствует любому из положений</w:t>
      </w:r>
      <w:r w:rsidRPr="000B795F">
        <w:rPr>
          <w:sz w:val="22"/>
          <w:szCs w:val="22"/>
          <w:lang w:val="en"/>
        </w:rPr>
        <w:t> </w:t>
      </w:r>
      <w:r w:rsidRPr="000B795F">
        <w:rPr>
          <w:sz w:val="22"/>
          <w:szCs w:val="22"/>
        </w:rPr>
        <w:t xml:space="preserve">пункта 6 статьи 123 настоящего Кодекса. </w:t>
      </w:r>
    </w:p>
    <w:p w14:paraId="7F729898" w14:textId="77777777" w:rsidR="00CC4C68" w:rsidRPr="000B795F" w:rsidRDefault="00CC4C68" w:rsidP="00CC4C68">
      <w:pPr>
        <w:ind w:firstLine="709"/>
        <w:jc w:val="both"/>
        <w:rPr>
          <w:sz w:val="22"/>
          <w:szCs w:val="22"/>
        </w:rPr>
      </w:pPr>
    </w:p>
    <w:p w14:paraId="6A54FC59" w14:textId="77777777" w:rsidR="00CC4C68" w:rsidRPr="000B795F" w:rsidRDefault="00CC4C68" w:rsidP="00CC4C68">
      <w:pPr>
        <w:shd w:val="clear" w:color="auto" w:fill="FFFFFF"/>
        <w:ind w:firstLine="709"/>
        <w:jc w:val="both"/>
        <w:rPr>
          <w:sz w:val="22"/>
          <w:szCs w:val="22"/>
        </w:rPr>
      </w:pPr>
      <w:r w:rsidRPr="000B795F">
        <w:rPr>
          <w:color w:val="000000"/>
          <w:spacing w:val="-27"/>
          <w:sz w:val="22"/>
          <w:szCs w:val="22"/>
        </w:rPr>
        <w:t>Рекомендуемая литература</w:t>
      </w:r>
    </w:p>
    <w:p w14:paraId="5961C95B" w14:textId="77777777" w:rsidR="00CC4C68" w:rsidRPr="000B795F" w:rsidRDefault="00CC4C68" w:rsidP="00CC4C68">
      <w:pPr>
        <w:numPr>
          <w:ilvl w:val="0"/>
          <w:numId w:val="1"/>
        </w:numPr>
        <w:tabs>
          <w:tab w:val="num" w:pos="0"/>
        </w:tabs>
        <w:ind w:left="0" w:firstLine="0"/>
        <w:jc w:val="both"/>
        <w:rPr>
          <w:sz w:val="22"/>
          <w:szCs w:val="22"/>
          <w:lang w:val="en-US"/>
        </w:rPr>
      </w:pPr>
      <w:r w:rsidRPr="000B795F">
        <w:rPr>
          <w:sz w:val="22"/>
          <w:szCs w:val="22"/>
          <w:lang w:val="en-US"/>
        </w:rPr>
        <w:lastRenderedPageBreak/>
        <w:t xml:space="preserve">Louis </w:t>
      </w:r>
      <w:proofErr w:type="gramStart"/>
      <w:r w:rsidRPr="000B795F">
        <w:rPr>
          <w:sz w:val="22"/>
          <w:szCs w:val="22"/>
          <w:lang w:val="en-US"/>
        </w:rPr>
        <w:t>Kaplow  The</w:t>
      </w:r>
      <w:proofErr w:type="gramEnd"/>
      <w:r w:rsidRPr="000B795F">
        <w:rPr>
          <w:sz w:val="22"/>
          <w:szCs w:val="22"/>
          <w:lang w:val="en-US"/>
        </w:rPr>
        <w:t xml:space="preserve"> Theory of Taxation and Public Economics Princeton University Press, 2011</w:t>
      </w:r>
    </w:p>
    <w:p w14:paraId="17769EE6" w14:textId="77777777" w:rsidR="00CC4C68" w:rsidRPr="000B795F" w:rsidRDefault="00CC4C68" w:rsidP="00CC4C68">
      <w:pPr>
        <w:numPr>
          <w:ilvl w:val="0"/>
          <w:numId w:val="1"/>
        </w:numPr>
        <w:tabs>
          <w:tab w:val="num" w:pos="0"/>
        </w:tabs>
        <w:ind w:left="0" w:firstLine="0"/>
        <w:jc w:val="both"/>
        <w:rPr>
          <w:sz w:val="22"/>
          <w:szCs w:val="22"/>
        </w:rPr>
      </w:pPr>
      <w:r w:rsidRPr="000B795F">
        <w:rPr>
          <w:sz w:val="22"/>
          <w:szCs w:val="22"/>
          <w:lang w:val="en-US"/>
        </w:rPr>
        <w:t xml:space="preserve">Income Tax Planning for Financial Planners by Thomas P. Langdon. Hardcover, 2012 </w:t>
      </w:r>
    </w:p>
    <w:p w14:paraId="3CBA942E" w14:textId="77777777" w:rsidR="00CC4C68" w:rsidRPr="000B795F" w:rsidRDefault="00CC4C68" w:rsidP="00CC4C68">
      <w:pPr>
        <w:numPr>
          <w:ilvl w:val="0"/>
          <w:numId w:val="1"/>
        </w:numPr>
        <w:tabs>
          <w:tab w:val="num" w:pos="0"/>
        </w:tabs>
        <w:ind w:left="0" w:firstLine="0"/>
        <w:jc w:val="both"/>
        <w:rPr>
          <w:sz w:val="22"/>
          <w:szCs w:val="22"/>
        </w:rPr>
      </w:pPr>
      <w:r w:rsidRPr="000B795F">
        <w:rPr>
          <w:sz w:val="22"/>
          <w:szCs w:val="22"/>
        </w:rPr>
        <w:t xml:space="preserve">Кодекс Республики Казахстан от 10 декабря 2008 года N 99-IV </w:t>
      </w:r>
      <w:r w:rsidRPr="000B795F">
        <w:rPr>
          <w:sz w:val="22"/>
          <w:szCs w:val="22"/>
        </w:rPr>
        <w:br/>
        <w:t>«О налогах и других обязательных платежах в бюджет» (Налоговый кодекс) по состоянию на 06.03.2014 года</w:t>
      </w:r>
    </w:p>
    <w:p w14:paraId="5CD36C25" w14:textId="77777777" w:rsidR="00CC4C68" w:rsidRPr="000B795F" w:rsidRDefault="00CC4C68" w:rsidP="00CC4C68">
      <w:pPr>
        <w:numPr>
          <w:ilvl w:val="0"/>
          <w:numId w:val="1"/>
        </w:numPr>
        <w:tabs>
          <w:tab w:val="num" w:pos="0"/>
        </w:tabs>
        <w:ind w:left="0" w:firstLine="0"/>
        <w:jc w:val="both"/>
        <w:rPr>
          <w:sz w:val="22"/>
          <w:szCs w:val="22"/>
        </w:rPr>
      </w:pPr>
      <w:proofErr w:type="spellStart"/>
      <w:r w:rsidRPr="000B795F">
        <w:rPr>
          <w:sz w:val="22"/>
          <w:szCs w:val="22"/>
        </w:rPr>
        <w:t>Балапанов</w:t>
      </w:r>
      <w:proofErr w:type="spellEnd"/>
      <w:r w:rsidRPr="000B795F">
        <w:rPr>
          <w:sz w:val="22"/>
          <w:szCs w:val="22"/>
        </w:rPr>
        <w:t xml:space="preserve"> Е.С. «Государственный налоговый менеджмент в Республике Казахстан (проблемы формирования и развития). - Алматы, 2001.</w:t>
      </w:r>
    </w:p>
    <w:p w14:paraId="35E8B390" w14:textId="77777777" w:rsidR="00CC4C68" w:rsidRPr="000B795F" w:rsidRDefault="00CC4C68" w:rsidP="00CC4C68">
      <w:pPr>
        <w:numPr>
          <w:ilvl w:val="0"/>
          <w:numId w:val="1"/>
        </w:numPr>
        <w:tabs>
          <w:tab w:val="num" w:pos="0"/>
        </w:tabs>
        <w:ind w:left="0" w:firstLine="0"/>
        <w:jc w:val="both"/>
        <w:rPr>
          <w:sz w:val="22"/>
          <w:szCs w:val="22"/>
        </w:rPr>
      </w:pPr>
      <w:proofErr w:type="spellStart"/>
      <w:r w:rsidRPr="000B795F">
        <w:rPr>
          <w:sz w:val="22"/>
          <w:szCs w:val="22"/>
        </w:rPr>
        <w:t>Вылкова</w:t>
      </w:r>
      <w:proofErr w:type="spellEnd"/>
      <w:r w:rsidRPr="000B795F">
        <w:rPr>
          <w:sz w:val="22"/>
          <w:szCs w:val="22"/>
        </w:rPr>
        <w:t xml:space="preserve"> </w:t>
      </w:r>
      <w:proofErr w:type="gramStart"/>
      <w:r w:rsidRPr="000B795F">
        <w:rPr>
          <w:sz w:val="22"/>
          <w:szCs w:val="22"/>
        </w:rPr>
        <w:t>Е.С.</w:t>
      </w:r>
      <w:proofErr w:type="gramEnd"/>
      <w:r w:rsidRPr="000B795F">
        <w:rPr>
          <w:sz w:val="22"/>
          <w:szCs w:val="22"/>
        </w:rPr>
        <w:t>, Романовский М.В. Налоговое планирование. - СПб.: Питер, 2004. - 634 с.</w:t>
      </w:r>
    </w:p>
    <w:p w14:paraId="3B3D7946" w14:textId="77777777" w:rsidR="00CC4C68" w:rsidRPr="000B795F" w:rsidRDefault="00CC4C68" w:rsidP="00CC4C68">
      <w:pPr>
        <w:numPr>
          <w:ilvl w:val="0"/>
          <w:numId w:val="1"/>
        </w:numPr>
        <w:tabs>
          <w:tab w:val="num" w:pos="0"/>
        </w:tabs>
        <w:ind w:left="0" w:firstLine="0"/>
        <w:jc w:val="both"/>
        <w:rPr>
          <w:sz w:val="22"/>
          <w:szCs w:val="22"/>
        </w:rPr>
      </w:pPr>
      <w:proofErr w:type="spellStart"/>
      <w:r w:rsidRPr="000B795F">
        <w:rPr>
          <w:sz w:val="22"/>
          <w:szCs w:val="22"/>
        </w:rPr>
        <w:t>Тусеева</w:t>
      </w:r>
      <w:proofErr w:type="spellEnd"/>
      <w:r w:rsidRPr="000B795F">
        <w:rPr>
          <w:sz w:val="22"/>
          <w:szCs w:val="22"/>
        </w:rPr>
        <w:t xml:space="preserve"> </w:t>
      </w:r>
      <w:proofErr w:type="gramStart"/>
      <w:r w:rsidRPr="000B795F">
        <w:rPr>
          <w:sz w:val="22"/>
          <w:szCs w:val="22"/>
        </w:rPr>
        <w:t>М.Х.</w:t>
      </w:r>
      <w:proofErr w:type="gramEnd"/>
      <w:r w:rsidRPr="000B795F">
        <w:rPr>
          <w:sz w:val="22"/>
          <w:szCs w:val="22"/>
        </w:rPr>
        <w:t xml:space="preserve">, </w:t>
      </w:r>
      <w:proofErr w:type="spellStart"/>
      <w:r w:rsidRPr="000B795F">
        <w:rPr>
          <w:sz w:val="22"/>
          <w:szCs w:val="22"/>
        </w:rPr>
        <w:t>Тусеева</w:t>
      </w:r>
      <w:proofErr w:type="spellEnd"/>
      <w:r w:rsidRPr="000B795F">
        <w:rPr>
          <w:sz w:val="22"/>
          <w:szCs w:val="22"/>
        </w:rPr>
        <w:t xml:space="preserve"> </w:t>
      </w:r>
      <w:proofErr w:type="spellStart"/>
      <w:r w:rsidRPr="000B795F">
        <w:rPr>
          <w:sz w:val="22"/>
          <w:szCs w:val="22"/>
        </w:rPr>
        <w:t>И.Х.Налоговое</w:t>
      </w:r>
      <w:proofErr w:type="spellEnd"/>
      <w:r w:rsidRPr="000B795F">
        <w:rPr>
          <w:sz w:val="22"/>
          <w:szCs w:val="22"/>
        </w:rPr>
        <w:t xml:space="preserve"> планирование на микроуровне: состояние, тенденции, перспективы. Учебное </w:t>
      </w:r>
      <w:proofErr w:type="gramStart"/>
      <w:r w:rsidRPr="000B795F">
        <w:rPr>
          <w:sz w:val="22"/>
          <w:szCs w:val="22"/>
        </w:rPr>
        <w:t>пособие.-</w:t>
      </w:r>
      <w:proofErr w:type="gramEnd"/>
      <w:r w:rsidRPr="000B795F">
        <w:rPr>
          <w:sz w:val="22"/>
          <w:szCs w:val="22"/>
        </w:rPr>
        <w:t xml:space="preserve"> Алматы:, 2008.- 127с</w:t>
      </w:r>
    </w:p>
    <w:p w14:paraId="406243BA" w14:textId="77777777" w:rsidR="00CC4C68" w:rsidRPr="000B795F" w:rsidRDefault="00CC4C68" w:rsidP="00CC4C68">
      <w:pPr>
        <w:numPr>
          <w:ilvl w:val="0"/>
          <w:numId w:val="1"/>
        </w:numPr>
        <w:tabs>
          <w:tab w:val="num" w:pos="0"/>
        </w:tabs>
        <w:ind w:left="0" w:firstLine="0"/>
        <w:jc w:val="both"/>
        <w:rPr>
          <w:sz w:val="22"/>
          <w:szCs w:val="22"/>
        </w:rPr>
      </w:pPr>
      <w:r w:rsidRPr="000B795F">
        <w:rPr>
          <w:sz w:val="22"/>
          <w:szCs w:val="22"/>
        </w:rPr>
        <w:t xml:space="preserve">Тихонов </w:t>
      </w:r>
      <w:proofErr w:type="gramStart"/>
      <w:r w:rsidRPr="000B795F">
        <w:rPr>
          <w:sz w:val="22"/>
          <w:szCs w:val="22"/>
        </w:rPr>
        <w:t>Д.Н.</w:t>
      </w:r>
      <w:proofErr w:type="gramEnd"/>
      <w:r w:rsidRPr="000B795F">
        <w:rPr>
          <w:sz w:val="22"/>
          <w:szCs w:val="22"/>
        </w:rPr>
        <w:t xml:space="preserve">, </w:t>
      </w:r>
      <w:proofErr w:type="spellStart"/>
      <w:r w:rsidRPr="000B795F">
        <w:rPr>
          <w:sz w:val="22"/>
          <w:szCs w:val="22"/>
        </w:rPr>
        <w:t>Липник</w:t>
      </w:r>
      <w:proofErr w:type="spellEnd"/>
      <w:r w:rsidRPr="000B795F">
        <w:rPr>
          <w:sz w:val="22"/>
          <w:szCs w:val="22"/>
        </w:rPr>
        <w:t xml:space="preserve"> Л.Г. Налоговое планирование и минимизация налоговых рисков. - Издательство: Альпина Бизнес Букс, ISBN 5-9614-0011-5.</w:t>
      </w:r>
    </w:p>
    <w:p w14:paraId="14CD137C" w14:textId="77777777" w:rsidR="00CC4C68" w:rsidRPr="000B795F" w:rsidRDefault="00CC4C68" w:rsidP="00CC4C68">
      <w:pPr>
        <w:numPr>
          <w:ilvl w:val="0"/>
          <w:numId w:val="1"/>
        </w:numPr>
        <w:tabs>
          <w:tab w:val="num" w:pos="0"/>
        </w:tabs>
        <w:ind w:left="0" w:firstLine="0"/>
        <w:jc w:val="both"/>
        <w:rPr>
          <w:sz w:val="22"/>
          <w:szCs w:val="22"/>
        </w:rPr>
      </w:pPr>
      <w:r w:rsidRPr="000B795F">
        <w:rPr>
          <w:sz w:val="22"/>
          <w:szCs w:val="22"/>
        </w:rPr>
        <w:t xml:space="preserve">Скала В.И., Скала В.Н. Нестандартные налоговые ситуации (практическое пособие по применению отдельных норм НК Республики </w:t>
      </w:r>
      <w:proofErr w:type="gramStart"/>
      <w:r w:rsidRPr="000B795F">
        <w:rPr>
          <w:sz w:val="22"/>
          <w:szCs w:val="22"/>
        </w:rPr>
        <w:t>Казахстан )</w:t>
      </w:r>
      <w:proofErr w:type="gramEnd"/>
      <w:r w:rsidRPr="000B795F">
        <w:rPr>
          <w:sz w:val="22"/>
          <w:szCs w:val="22"/>
        </w:rPr>
        <w:t>, Алматы 2005г.;</w:t>
      </w:r>
    </w:p>
    <w:p w14:paraId="1A713884" w14:textId="77777777" w:rsidR="00CC4C68" w:rsidRPr="000B795F" w:rsidRDefault="00CC4C68" w:rsidP="00CC4C68">
      <w:pPr>
        <w:numPr>
          <w:ilvl w:val="0"/>
          <w:numId w:val="1"/>
        </w:numPr>
        <w:tabs>
          <w:tab w:val="num" w:pos="0"/>
        </w:tabs>
        <w:ind w:left="0" w:firstLine="0"/>
        <w:jc w:val="both"/>
        <w:rPr>
          <w:sz w:val="22"/>
          <w:szCs w:val="22"/>
        </w:rPr>
      </w:pPr>
      <w:proofErr w:type="spellStart"/>
      <w:r w:rsidRPr="000B795F">
        <w:rPr>
          <w:sz w:val="22"/>
          <w:szCs w:val="22"/>
        </w:rPr>
        <w:t>Брызгалин</w:t>
      </w:r>
      <w:proofErr w:type="spellEnd"/>
      <w:r w:rsidRPr="000B795F">
        <w:rPr>
          <w:sz w:val="22"/>
          <w:szCs w:val="22"/>
        </w:rPr>
        <w:t xml:space="preserve"> А.В., </w:t>
      </w:r>
      <w:proofErr w:type="spellStart"/>
      <w:r w:rsidRPr="000B795F">
        <w:rPr>
          <w:sz w:val="22"/>
          <w:szCs w:val="22"/>
        </w:rPr>
        <w:t>Берник</w:t>
      </w:r>
      <w:proofErr w:type="spellEnd"/>
      <w:r w:rsidRPr="000B795F">
        <w:rPr>
          <w:sz w:val="22"/>
          <w:szCs w:val="22"/>
        </w:rPr>
        <w:t xml:space="preserve"> В.Р., Головкин </w:t>
      </w:r>
      <w:proofErr w:type="gramStart"/>
      <w:r w:rsidRPr="000B795F">
        <w:rPr>
          <w:sz w:val="22"/>
          <w:szCs w:val="22"/>
        </w:rPr>
        <w:t>А.Н.</w:t>
      </w:r>
      <w:proofErr w:type="gramEnd"/>
      <w:r w:rsidRPr="000B795F">
        <w:rPr>
          <w:sz w:val="22"/>
          <w:szCs w:val="22"/>
        </w:rPr>
        <w:t xml:space="preserve">, </w:t>
      </w:r>
      <w:proofErr w:type="spellStart"/>
      <w:r w:rsidRPr="000B795F">
        <w:rPr>
          <w:sz w:val="22"/>
          <w:szCs w:val="22"/>
        </w:rPr>
        <w:t>Брызгалин</w:t>
      </w:r>
      <w:proofErr w:type="spellEnd"/>
      <w:r w:rsidRPr="000B795F">
        <w:rPr>
          <w:sz w:val="22"/>
          <w:szCs w:val="22"/>
        </w:rPr>
        <w:t xml:space="preserve"> В.В., Баженов О.И.   Методы   налоговой   оптимизации.   Изд.2-</w:t>
      </w:r>
      <w:proofErr w:type="gramStart"/>
      <w:r w:rsidRPr="000B795F">
        <w:rPr>
          <w:sz w:val="22"/>
          <w:szCs w:val="22"/>
        </w:rPr>
        <w:t xml:space="preserve">е,   </w:t>
      </w:r>
      <w:proofErr w:type="spellStart"/>
      <w:proofErr w:type="gramEnd"/>
      <w:r w:rsidRPr="000B795F">
        <w:rPr>
          <w:sz w:val="22"/>
          <w:szCs w:val="22"/>
        </w:rPr>
        <w:t>перераб</w:t>
      </w:r>
      <w:proofErr w:type="spellEnd"/>
      <w:r w:rsidRPr="000B795F">
        <w:rPr>
          <w:sz w:val="22"/>
          <w:szCs w:val="22"/>
        </w:rPr>
        <w:t xml:space="preserve">.   </w:t>
      </w:r>
      <w:proofErr w:type="gramStart"/>
      <w:r w:rsidRPr="000B795F">
        <w:rPr>
          <w:sz w:val="22"/>
          <w:szCs w:val="22"/>
        </w:rPr>
        <w:t>и  доп.</w:t>
      </w:r>
      <w:proofErr w:type="gramEnd"/>
      <w:r w:rsidRPr="000B795F">
        <w:rPr>
          <w:sz w:val="22"/>
          <w:szCs w:val="22"/>
        </w:rPr>
        <w:t xml:space="preserve"> - М.: «Аналитика-Пресс»,2000;</w:t>
      </w:r>
    </w:p>
    <w:p w14:paraId="0491E9D6" w14:textId="77777777" w:rsidR="00CC4C68" w:rsidRPr="000B795F" w:rsidRDefault="00CC4C68" w:rsidP="00CC4C68">
      <w:pPr>
        <w:numPr>
          <w:ilvl w:val="0"/>
          <w:numId w:val="1"/>
        </w:numPr>
        <w:tabs>
          <w:tab w:val="num" w:pos="0"/>
        </w:tabs>
        <w:ind w:left="0" w:firstLine="0"/>
        <w:jc w:val="both"/>
        <w:rPr>
          <w:sz w:val="22"/>
          <w:szCs w:val="22"/>
        </w:rPr>
      </w:pPr>
      <w:r w:rsidRPr="000B795F">
        <w:rPr>
          <w:sz w:val="22"/>
          <w:szCs w:val="22"/>
        </w:rPr>
        <w:t>Джон Пеппер. Практическая энциклопедия международного налогового и финансового планирования. - М: ИНФРА-М, 1998.</w:t>
      </w:r>
    </w:p>
    <w:p w14:paraId="6CC46DF6" w14:textId="77777777" w:rsidR="00CC4C68" w:rsidRDefault="00CC4C68"/>
    <w:sectPr w:rsidR="00CC4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127"/>
    <w:multiLevelType w:val="hybridMultilevel"/>
    <w:tmpl w:val="23C6C0B6"/>
    <w:lvl w:ilvl="0" w:tplc="9E78E3B4">
      <w:start w:val="1"/>
      <w:numFmt w:val="decimal"/>
      <w:lvlText w:val="%1."/>
      <w:lvlJc w:val="left"/>
      <w:pPr>
        <w:ind w:left="2254" w:hanging="1050"/>
      </w:pPr>
      <w:rPr>
        <w:rFonts w:hint="default"/>
      </w:rPr>
    </w:lvl>
    <w:lvl w:ilvl="1" w:tplc="04190019" w:tentative="1">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1" w15:restartNumberingAfterBreak="0">
    <w:nsid w:val="2ABC378F"/>
    <w:multiLevelType w:val="hybridMultilevel"/>
    <w:tmpl w:val="7DCA3F54"/>
    <w:lvl w:ilvl="0" w:tplc="F0A81ACC">
      <w:start w:val="1"/>
      <w:numFmt w:val="decimal"/>
      <w:lvlText w:val="%1)"/>
      <w:lvlJc w:val="left"/>
      <w:pPr>
        <w:ind w:left="1534" w:hanging="36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abstractNum w:abstractNumId="2" w15:restartNumberingAfterBreak="0">
    <w:nsid w:val="335336D5"/>
    <w:multiLevelType w:val="hybridMultilevel"/>
    <w:tmpl w:val="7C7C2732"/>
    <w:lvl w:ilvl="0" w:tplc="F70C32D2">
      <w:start w:val="1"/>
      <w:numFmt w:val="bullet"/>
      <w:lvlText w:val="•"/>
      <w:lvlJc w:val="left"/>
      <w:pPr>
        <w:tabs>
          <w:tab w:val="num" w:pos="720"/>
        </w:tabs>
        <w:ind w:left="720" w:hanging="360"/>
      </w:pPr>
      <w:rPr>
        <w:rFonts w:ascii="Times New Roman" w:hAnsi="Times New Roman" w:hint="default"/>
      </w:rPr>
    </w:lvl>
    <w:lvl w:ilvl="1" w:tplc="0BA4E058" w:tentative="1">
      <w:start w:val="1"/>
      <w:numFmt w:val="bullet"/>
      <w:lvlText w:val="•"/>
      <w:lvlJc w:val="left"/>
      <w:pPr>
        <w:tabs>
          <w:tab w:val="num" w:pos="1440"/>
        </w:tabs>
        <w:ind w:left="1440" w:hanging="360"/>
      </w:pPr>
      <w:rPr>
        <w:rFonts w:ascii="Times New Roman" w:hAnsi="Times New Roman" w:hint="default"/>
      </w:rPr>
    </w:lvl>
    <w:lvl w:ilvl="2" w:tplc="5040F766" w:tentative="1">
      <w:start w:val="1"/>
      <w:numFmt w:val="bullet"/>
      <w:lvlText w:val="•"/>
      <w:lvlJc w:val="left"/>
      <w:pPr>
        <w:tabs>
          <w:tab w:val="num" w:pos="2160"/>
        </w:tabs>
        <w:ind w:left="2160" w:hanging="360"/>
      </w:pPr>
      <w:rPr>
        <w:rFonts w:ascii="Times New Roman" w:hAnsi="Times New Roman" w:hint="default"/>
      </w:rPr>
    </w:lvl>
    <w:lvl w:ilvl="3" w:tplc="A190AC8A" w:tentative="1">
      <w:start w:val="1"/>
      <w:numFmt w:val="bullet"/>
      <w:lvlText w:val="•"/>
      <w:lvlJc w:val="left"/>
      <w:pPr>
        <w:tabs>
          <w:tab w:val="num" w:pos="2880"/>
        </w:tabs>
        <w:ind w:left="2880" w:hanging="360"/>
      </w:pPr>
      <w:rPr>
        <w:rFonts w:ascii="Times New Roman" w:hAnsi="Times New Roman" w:hint="default"/>
      </w:rPr>
    </w:lvl>
    <w:lvl w:ilvl="4" w:tplc="BB7C1C18" w:tentative="1">
      <w:start w:val="1"/>
      <w:numFmt w:val="bullet"/>
      <w:lvlText w:val="•"/>
      <w:lvlJc w:val="left"/>
      <w:pPr>
        <w:tabs>
          <w:tab w:val="num" w:pos="3600"/>
        </w:tabs>
        <w:ind w:left="3600" w:hanging="360"/>
      </w:pPr>
      <w:rPr>
        <w:rFonts w:ascii="Times New Roman" w:hAnsi="Times New Roman" w:hint="default"/>
      </w:rPr>
    </w:lvl>
    <w:lvl w:ilvl="5" w:tplc="1A360130" w:tentative="1">
      <w:start w:val="1"/>
      <w:numFmt w:val="bullet"/>
      <w:lvlText w:val="•"/>
      <w:lvlJc w:val="left"/>
      <w:pPr>
        <w:tabs>
          <w:tab w:val="num" w:pos="4320"/>
        </w:tabs>
        <w:ind w:left="4320" w:hanging="360"/>
      </w:pPr>
      <w:rPr>
        <w:rFonts w:ascii="Times New Roman" w:hAnsi="Times New Roman" w:hint="default"/>
      </w:rPr>
    </w:lvl>
    <w:lvl w:ilvl="6" w:tplc="E8466C2A" w:tentative="1">
      <w:start w:val="1"/>
      <w:numFmt w:val="bullet"/>
      <w:lvlText w:val="•"/>
      <w:lvlJc w:val="left"/>
      <w:pPr>
        <w:tabs>
          <w:tab w:val="num" w:pos="5040"/>
        </w:tabs>
        <w:ind w:left="5040" w:hanging="360"/>
      </w:pPr>
      <w:rPr>
        <w:rFonts w:ascii="Times New Roman" w:hAnsi="Times New Roman" w:hint="default"/>
      </w:rPr>
    </w:lvl>
    <w:lvl w:ilvl="7" w:tplc="E3D4DB16" w:tentative="1">
      <w:start w:val="1"/>
      <w:numFmt w:val="bullet"/>
      <w:lvlText w:val="•"/>
      <w:lvlJc w:val="left"/>
      <w:pPr>
        <w:tabs>
          <w:tab w:val="num" w:pos="5760"/>
        </w:tabs>
        <w:ind w:left="5760" w:hanging="360"/>
      </w:pPr>
      <w:rPr>
        <w:rFonts w:ascii="Times New Roman" w:hAnsi="Times New Roman" w:hint="default"/>
      </w:rPr>
    </w:lvl>
    <w:lvl w:ilvl="8" w:tplc="5A04B1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F60A2E"/>
    <w:multiLevelType w:val="hybridMultilevel"/>
    <w:tmpl w:val="8F063C7C"/>
    <w:lvl w:ilvl="0" w:tplc="DC66BD52">
      <w:start w:val="1"/>
      <w:numFmt w:val="bullet"/>
      <w:lvlText w:val="•"/>
      <w:lvlJc w:val="left"/>
      <w:pPr>
        <w:tabs>
          <w:tab w:val="num" w:pos="360"/>
        </w:tabs>
        <w:ind w:left="360" w:hanging="360"/>
      </w:pPr>
      <w:rPr>
        <w:rFonts w:ascii="Times New Roman" w:hAnsi="Times New Roman" w:hint="default"/>
      </w:rPr>
    </w:lvl>
    <w:lvl w:ilvl="1" w:tplc="8C008288" w:tentative="1">
      <w:start w:val="1"/>
      <w:numFmt w:val="bullet"/>
      <w:lvlText w:val="•"/>
      <w:lvlJc w:val="left"/>
      <w:pPr>
        <w:tabs>
          <w:tab w:val="num" w:pos="1080"/>
        </w:tabs>
        <w:ind w:left="1080" w:hanging="360"/>
      </w:pPr>
      <w:rPr>
        <w:rFonts w:ascii="Times New Roman" w:hAnsi="Times New Roman" w:hint="default"/>
      </w:rPr>
    </w:lvl>
    <w:lvl w:ilvl="2" w:tplc="001479C4" w:tentative="1">
      <w:start w:val="1"/>
      <w:numFmt w:val="bullet"/>
      <w:lvlText w:val="•"/>
      <w:lvlJc w:val="left"/>
      <w:pPr>
        <w:tabs>
          <w:tab w:val="num" w:pos="1800"/>
        </w:tabs>
        <w:ind w:left="1800" w:hanging="360"/>
      </w:pPr>
      <w:rPr>
        <w:rFonts w:ascii="Times New Roman" w:hAnsi="Times New Roman" w:hint="default"/>
      </w:rPr>
    </w:lvl>
    <w:lvl w:ilvl="3" w:tplc="BD668800" w:tentative="1">
      <w:start w:val="1"/>
      <w:numFmt w:val="bullet"/>
      <w:lvlText w:val="•"/>
      <w:lvlJc w:val="left"/>
      <w:pPr>
        <w:tabs>
          <w:tab w:val="num" w:pos="2520"/>
        </w:tabs>
        <w:ind w:left="2520" w:hanging="360"/>
      </w:pPr>
      <w:rPr>
        <w:rFonts w:ascii="Times New Roman" w:hAnsi="Times New Roman" w:hint="default"/>
      </w:rPr>
    </w:lvl>
    <w:lvl w:ilvl="4" w:tplc="113A31E6" w:tentative="1">
      <w:start w:val="1"/>
      <w:numFmt w:val="bullet"/>
      <w:lvlText w:val="•"/>
      <w:lvlJc w:val="left"/>
      <w:pPr>
        <w:tabs>
          <w:tab w:val="num" w:pos="3240"/>
        </w:tabs>
        <w:ind w:left="3240" w:hanging="360"/>
      </w:pPr>
      <w:rPr>
        <w:rFonts w:ascii="Times New Roman" w:hAnsi="Times New Roman" w:hint="default"/>
      </w:rPr>
    </w:lvl>
    <w:lvl w:ilvl="5" w:tplc="AE98B274" w:tentative="1">
      <w:start w:val="1"/>
      <w:numFmt w:val="bullet"/>
      <w:lvlText w:val="•"/>
      <w:lvlJc w:val="left"/>
      <w:pPr>
        <w:tabs>
          <w:tab w:val="num" w:pos="3960"/>
        </w:tabs>
        <w:ind w:left="3960" w:hanging="360"/>
      </w:pPr>
      <w:rPr>
        <w:rFonts w:ascii="Times New Roman" w:hAnsi="Times New Roman" w:hint="default"/>
      </w:rPr>
    </w:lvl>
    <w:lvl w:ilvl="6" w:tplc="958EEAC6" w:tentative="1">
      <w:start w:val="1"/>
      <w:numFmt w:val="bullet"/>
      <w:lvlText w:val="•"/>
      <w:lvlJc w:val="left"/>
      <w:pPr>
        <w:tabs>
          <w:tab w:val="num" w:pos="4680"/>
        </w:tabs>
        <w:ind w:left="4680" w:hanging="360"/>
      </w:pPr>
      <w:rPr>
        <w:rFonts w:ascii="Times New Roman" w:hAnsi="Times New Roman" w:hint="default"/>
      </w:rPr>
    </w:lvl>
    <w:lvl w:ilvl="7" w:tplc="4E72E4AE" w:tentative="1">
      <w:start w:val="1"/>
      <w:numFmt w:val="bullet"/>
      <w:lvlText w:val="•"/>
      <w:lvlJc w:val="left"/>
      <w:pPr>
        <w:tabs>
          <w:tab w:val="num" w:pos="5400"/>
        </w:tabs>
        <w:ind w:left="5400" w:hanging="360"/>
      </w:pPr>
      <w:rPr>
        <w:rFonts w:ascii="Times New Roman" w:hAnsi="Times New Roman" w:hint="default"/>
      </w:rPr>
    </w:lvl>
    <w:lvl w:ilvl="8" w:tplc="95C07E6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51BA1529"/>
    <w:multiLevelType w:val="hybridMultilevel"/>
    <w:tmpl w:val="17268936"/>
    <w:lvl w:ilvl="0" w:tplc="722EC6AC">
      <w:start w:val="1"/>
      <w:numFmt w:val="bullet"/>
      <w:lvlText w:val="•"/>
      <w:lvlJc w:val="left"/>
      <w:pPr>
        <w:tabs>
          <w:tab w:val="num" w:pos="720"/>
        </w:tabs>
        <w:ind w:left="720" w:hanging="360"/>
      </w:pPr>
      <w:rPr>
        <w:rFonts w:ascii="Times New Roman" w:hAnsi="Times New Roman" w:hint="default"/>
      </w:rPr>
    </w:lvl>
    <w:lvl w:ilvl="1" w:tplc="330C9A20" w:tentative="1">
      <w:start w:val="1"/>
      <w:numFmt w:val="bullet"/>
      <w:lvlText w:val="•"/>
      <w:lvlJc w:val="left"/>
      <w:pPr>
        <w:tabs>
          <w:tab w:val="num" w:pos="1440"/>
        </w:tabs>
        <w:ind w:left="1440" w:hanging="360"/>
      </w:pPr>
      <w:rPr>
        <w:rFonts w:ascii="Times New Roman" w:hAnsi="Times New Roman" w:hint="default"/>
      </w:rPr>
    </w:lvl>
    <w:lvl w:ilvl="2" w:tplc="4A843EFC" w:tentative="1">
      <w:start w:val="1"/>
      <w:numFmt w:val="bullet"/>
      <w:lvlText w:val="•"/>
      <w:lvlJc w:val="left"/>
      <w:pPr>
        <w:tabs>
          <w:tab w:val="num" w:pos="2160"/>
        </w:tabs>
        <w:ind w:left="2160" w:hanging="360"/>
      </w:pPr>
      <w:rPr>
        <w:rFonts w:ascii="Times New Roman" w:hAnsi="Times New Roman" w:hint="default"/>
      </w:rPr>
    </w:lvl>
    <w:lvl w:ilvl="3" w:tplc="B128BF62" w:tentative="1">
      <w:start w:val="1"/>
      <w:numFmt w:val="bullet"/>
      <w:lvlText w:val="•"/>
      <w:lvlJc w:val="left"/>
      <w:pPr>
        <w:tabs>
          <w:tab w:val="num" w:pos="2880"/>
        </w:tabs>
        <w:ind w:left="2880" w:hanging="360"/>
      </w:pPr>
      <w:rPr>
        <w:rFonts w:ascii="Times New Roman" w:hAnsi="Times New Roman" w:hint="default"/>
      </w:rPr>
    </w:lvl>
    <w:lvl w:ilvl="4" w:tplc="C2C806B4" w:tentative="1">
      <w:start w:val="1"/>
      <w:numFmt w:val="bullet"/>
      <w:lvlText w:val="•"/>
      <w:lvlJc w:val="left"/>
      <w:pPr>
        <w:tabs>
          <w:tab w:val="num" w:pos="3600"/>
        </w:tabs>
        <w:ind w:left="3600" w:hanging="360"/>
      </w:pPr>
      <w:rPr>
        <w:rFonts w:ascii="Times New Roman" w:hAnsi="Times New Roman" w:hint="default"/>
      </w:rPr>
    </w:lvl>
    <w:lvl w:ilvl="5" w:tplc="9E70D2BA" w:tentative="1">
      <w:start w:val="1"/>
      <w:numFmt w:val="bullet"/>
      <w:lvlText w:val="•"/>
      <w:lvlJc w:val="left"/>
      <w:pPr>
        <w:tabs>
          <w:tab w:val="num" w:pos="4320"/>
        </w:tabs>
        <w:ind w:left="4320" w:hanging="360"/>
      </w:pPr>
      <w:rPr>
        <w:rFonts w:ascii="Times New Roman" w:hAnsi="Times New Roman" w:hint="default"/>
      </w:rPr>
    </w:lvl>
    <w:lvl w:ilvl="6" w:tplc="CE308DC0" w:tentative="1">
      <w:start w:val="1"/>
      <w:numFmt w:val="bullet"/>
      <w:lvlText w:val="•"/>
      <w:lvlJc w:val="left"/>
      <w:pPr>
        <w:tabs>
          <w:tab w:val="num" w:pos="5040"/>
        </w:tabs>
        <w:ind w:left="5040" w:hanging="360"/>
      </w:pPr>
      <w:rPr>
        <w:rFonts w:ascii="Times New Roman" w:hAnsi="Times New Roman" w:hint="default"/>
      </w:rPr>
    </w:lvl>
    <w:lvl w:ilvl="7" w:tplc="8B70B706" w:tentative="1">
      <w:start w:val="1"/>
      <w:numFmt w:val="bullet"/>
      <w:lvlText w:val="•"/>
      <w:lvlJc w:val="left"/>
      <w:pPr>
        <w:tabs>
          <w:tab w:val="num" w:pos="5760"/>
        </w:tabs>
        <w:ind w:left="5760" w:hanging="360"/>
      </w:pPr>
      <w:rPr>
        <w:rFonts w:ascii="Times New Roman" w:hAnsi="Times New Roman" w:hint="default"/>
      </w:rPr>
    </w:lvl>
    <w:lvl w:ilvl="8" w:tplc="ED22E7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ED18A7"/>
    <w:multiLevelType w:val="hybridMultilevel"/>
    <w:tmpl w:val="E87E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3D30AF"/>
    <w:multiLevelType w:val="hybridMultilevel"/>
    <w:tmpl w:val="DCFC4430"/>
    <w:lvl w:ilvl="0" w:tplc="69A8D1DE">
      <w:start w:val="1"/>
      <w:numFmt w:val="bullet"/>
      <w:lvlText w:val=""/>
      <w:lvlJc w:val="left"/>
      <w:pPr>
        <w:tabs>
          <w:tab w:val="num" w:pos="360"/>
        </w:tabs>
        <w:ind w:left="360" w:hanging="360"/>
      </w:pPr>
      <w:rPr>
        <w:rFonts w:ascii="Wingdings 3" w:hAnsi="Wingdings 3" w:hint="default"/>
      </w:rPr>
    </w:lvl>
    <w:lvl w:ilvl="1" w:tplc="C5DE8C62" w:tentative="1">
      <w:start w:val="1"/>
      <w:numFmt w:val="bullet"/>
      <w:lvlText w:val=""/>
      <w:lvlJc w:val="left"/>
      <w:pPr>
        <w:tabs>
          <w:tab w:val="num" w:pos="1440"/>
        </w:tabs>
        <w:ind w:left="1440" w:hanging="360"/>
      </w:pPr>
      <w:rPr>
        <w:rFonts w:ascii="Wingdings 3" w:hAnsi="Wingdings 3" w:hint="default"/>
      </w:rPr>
    </w:lvl>
    <w:lvl w:ilvl="2" w:tplc="0706C728" w:tentative="1">
      <w:start w:val="1"/>
      <w:numFmt w:val="bullet"/>
      <w:lvlText w:val=""/>
      <w:lvlJc w:val="left"/>
      <w:pPr>
        <w:tabs>
          <w:tab w:val="num" w:pos="2160"/>
        </w:tabs>
        <w:ind w:left="2160" w:hanging="360"/>
      </w:pPr>
      <w:rPr>
        <w:rFonts w:ascii="Wingdings 3" w:hAnsi="Wingdings 3" w:hint="default"/>
      </w:rPr>
    </w:lvl>
    <w:lvl w:ilvl="3" w:tplc="D708E0E4" w:tentative="1">
      <w:start w:val="1"/>
      <w:numFmt w:val="bullet"/>
      <w:lvlText w:val=""/>
      <w:lvlJc w:val="left"/>
      <w:pPr>
        <w:tabs>
          <w:tab w:val="num" w:pos="2880"/>
        </w:tabs>
        <w:ind w:left="2880" w:hanging="360"/>
      </w:pPr>
      <w:rPr>
        <w:rFonts w:ascii="Wingdings 3" w:hAnsi="Wingdings 3" w:hint="default"/>
      </w:rPr>
    </w:lvl>
    <w:lvl w:ilvl="4" w:tplc="38E40058" w:tentative="1">
      <w:start w:val="1"/>
      <w:numFmt w:val="bullet"/>
      <w:lvlText w:val=""/>
      <w:lvlJc w:val="left"/>
      <w:pPr>
        <w:tabs>
          <w:tab w:val="num" w:pos="3600"/>
        </w:tabs>
        <w:ind w:left="3600" w:hanging="360"/>
      </w:pPr>
      <w:rPr>
        <w:rFonts w:ascii="Wingdings 3" w:hAnsi="Wingdings 3" w:hint="default"/>
      </w:rPr>
    </w:lvl>
    <w:lvl w:ilvl="5" w:tplc="A72A6BAC" w:tentative="1">
      <w:start w:val="1"/>
      <w:numFmt w:val="bullet"/>
      <w:lvlText w:val=""/>
      <w:lvlJc w:val="left"/>
      <w:pPr>
        <w:tabs>
          <w:tab w:val="num" w:pos="4320"/>
        </w:tabs>
        <w:ind w:left="4320" w:hanging="360"/>
      </w:pPr>
      <w:rPr>
        <w:rFonts w:ascii="Wingdings 3" w:hAnsi="Wingdings 3" w:hint="default"/>
      </w:rPr>
    </w:lvl>
    <w:lvl w:ilvl="6" w:tplc="1A8A7F6A" w:tentative="1">
      <w:start w:val="1"/>
      <w:numFmt w:val="bullet"/>
      <w:lvlText w:val=""/>
      <w:lvlJc w:val="left"/>
      <w:pPr>
        <w:tabs>
          <w:tab w:val="num" w:pos="5040"/>
        </w:tabs>
        <w:ind w:left="5040" w:hanging="360"/>
      </w:pPr>
      <w:rPr>
        <w:rFonts w:ascii="Wingdings 3" w:hAnsi="Wingdings 3" w:hint="default"/>
      </w:rPr>
    </w:lvl>
    <w:lvl w:ilvl="7" w:tplc="87A655A6" w:tentative="1">
      <w:start w:val="1"/>
      <w:numFmt w:val="bullet"/>
      <w:lvlText w:val=""/>
      <w:lvlJc w:val="left"/>
      <w:pPr>
        <w:tabs>
          <w:tab w:val="num" w:pos="5760"/>
        </w:tabs>
        <w:ind w:left="5760" w:hanging="360"/>
      </w:pPr>
      <w:rPr>
        <w:rFonts w:ascii="Wingdings 3" w:hAnsi="Wingdings 3" w:hint="default"/>
      </w:rPr>
    </w:lvl>
    <w:lvl w:ilvl="8" w:tplc="19F2AA42" w:tentative="1">
      <w:start w:val="1"/>
      <w:numFmt w:val="bullet"/>
      <w:lvlText w:val=""/>
      <w:lvlJc w:val="left"/>
      <w:pPr>
        <w:tabs>
          <w:tab w:val="num" w:pos="6480"/>
        </w:tabs>
        <w:ind w:left="6480" w:hanging="360"/>
      </w:pPr>
      <w:rPr>
        <w:rFonts w:ascii="Wingdings 3" w:hAnsi="Wingdings 3" w:hint="default"/>
      </w:rPr>
    </w:lvl>
  </w:abstractNum>
  <w:num w:numId="1" w16cid:durableId="1932348083">
    <w:abstractNumId w:val="6"/>
  </w:num>
  <w:num w:numId="2" w16cid:durableId="1796562138">
    <w:abstractNumId w:val="3"/>
  </w:num>
  <w:num w:numId="3" w16cid:durableId="1843659781">
    <w:abstractNumId w:val="5"/>
  </w:num>
  <w:num w:numId="4" w16cid:durableId="1786074335">
    <w:abstractNumId w:val="4"/>
  </w:num>
  <w:num w:numId="5" w16cid:durableId="991980221">
    <w:abstractNumId w:val="2"/>
  </w:num>
  <w:num w:numId="6" w16cid:durableId="636684486">
    <w:abstractNumId w:val="0"/>
  </w:num>
  <w:num w:numId="7" w16cid:durableId="100574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68"/>
    <w:rsid w:val="00CC4C68"/>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9420"/>
  <w15:chartTrackingRefBased/>
  <w15:docId w15:val="{33B8316A-FBBC-4EA8-BA82-AE70DDD5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6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CC4C68"/>
    <w:rPr>
      <w:rFonts w:ascii="Times New Roman" w:hAnsi="Times New Roman" w:cs="Times New Roman" w:hint="default"/>
      <w:b w:val="0"/>
      <w:bCs w:val="0"/>
      <w:i w:val="0"/>
      <w:iCs w:val="0"/>
      <w:strike w:val="0"/>
      <w:dstrike w:val="0"/>
      <w:color w:val="000000"/>
      <w:sz w:val="24"/>
      <w:szCs w:val="24"/>
      <w:u w:val="none"/>
      <w:effect w:val="none"/>
    </w:rPr>
  </w:style>
  <w:style w:type="character" w:styleId="a3">
    <w:name w:val="Strong"/>
    <w:uiPriority w:val="22"/>
    <w:qFormat/>
    <w:rsid w:val="00CC4C68"/>
    <w:rPr>
      <w:b/>
      <w:bCs/>
    </w:rPr>
  </w:style>
  <w:style w:type="paragraph" w:styleId="a4">
    <w:name w:val="Title"/>
    <w:basedOn w:val="a"/>
    <w:link w:val="a5"/>
    <w:qFormat/>
    <w:rsid w:val="00CC4C68"/>
    <w:pPr>
      <w:widowControl w:val="0"/>
      <w:tabs>
        <w:tab w:val="left" w:pos="720"/>
        <w:tab w:val="left" w:pos="1080"/>
        <w:tab w:val="left" w:pos="1260"/>
      </w:tabs>
      <w:ind w:left="680"/>
      <w:jc w:val="center"/>
    </w:pPr>
    <w:rPr>
      <w:b/>
      <w:bCs/>
      <w:sz w:val="20"/>
      <w:szCs w:val="20"/>
    </w:rPr>
  </w:style>
  <w:style w:type="character" w:customStyle="1" w:styleId="a5">
    <w:name w:val="Заголовок Знак"/>
    <w:basedOn w:val="a0"/>
    <w:link w:val="a4"/>
    <w:rsid w:val="00CC4C68"/>
    <w:rPr>
      <w:rFonts w:ascii="Times New Roman" w:eastAsia="Times New Roman" w:hAnsi="Times New Roman" w:cs="Times New Roman"/>
      <w:b/>
      <w:bCs/>
      <w:sz w:val="20"/>
      <w:szCs w:val="20"/>
      <w:lang w:val="ru-RU" w:eastAsia="ru-RU"/>
    </w:rPr>
  </w:style>
  <w:style w:type="paragraph" w:styleId="a6">
    <w:name w:val="Normal (Web)"/>
    <w:aliases w:val="Обычный (веб)1,Обычный (веб)1 Знак Знак Зн,Обычный (Web)"/>
    <w:basedOn w:val="a"/>
    <w:uiPriority w:val="99"/>
    <w:rsid w:val="00CC4C68"/>
    <w:pPr>
      <w:spacing w:before="100" w:beforeAutospacing="1" w:after="100" w:afterAutospacing="1"/>
    </w:pPr>
  </w:style>
  <w:style w:type="character" w:styleId="a7">
    <w:name w:val="Emphasis"/>
    <w:uiPriority w:val="20"/>
    <w:qFormat/>
    <w:rsid w:val="00CC4C68"/>
    <w:rPr>
      <w:i/>
      <w:iCs/>
    </w:rPr>
  </w:style>
  <w:style w:type="character" w:customStyle="1" w:styleId="apple-converted-space">
    <w:name w:val="apple-converted-space"/>
    <w:basedOn w:val="a0"/>
    <w:rsid w:val="00CC4C68"/>
  </w:style>
  <w:style w:type="paragraph" w:customStyle="1" w:styleId="book">
    <w:name w:val="book"/>
    <w:basedOn w:val="a"/>
    <w:rsid w:val="00CC4C68"/>
    <w:pPr>
      <w:ind w:firstLine="424"/>
    </w:pPr>
  </w:style>
  <w:style w:type="paragraph" w:customStyle="1" w:styleId="1">
    <w:name w:val="Обычный1"/>
    <w:rsid w:val="00CC4C68"/>
    <w:pPr>
      <w:spacing w:before="100" w:after="100" w:line="240" w:lineRule="auto"/>
    </w:pPr>
    <w:rPr>
      <w:rFonts w:ascii="Times New Roman" w:eastAsia="Times New Roman" w:hAnsi="Times New Roman" w:cs="Times New Roman"/>
      <w:snapToGrid w:val="0"/>
      <w:sz w:val="24"/>
      <w:szCs w:val="20"/>
      <w:lang w:val="es-AR" w:eastAsia="ru-RU"/>
    </w:rPr>
  </w:style>
  <w:style w:type="paragraph" w:styleId="a8">
    <w:name w:val="List Paragraph"/>
    <w:basedOn w:val="a"/>
    <w:uiPriority w:val="34"/>
    <w:qFormat/>
    <w:rsid w:val="00CC4C6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4519</Words>
  <Characters>25764</Characters>
  <Application>Microsoft Office Word</Application>
  <DocSecurity>0</DocSecurity>
  <Lines>214</Lines>
  <Paragraphs>60</Paragraphs>
  <ScaleCrop>false</ScaleCrop>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Евразийский  Технологический Университет</dc:creator>
  <cp:keywords/>
  <dc:description/>
  <cp:lastModifiedBy>Евразийский  Технологический Университет</cp:lastModifiedBy>
  <cp:revision>1</cp:revision>
  <dcterms:created xsi:type="dcterms:W3CDTF">2023-01-10T08:29:00Z</dcterms:created>
  <dcterms:modified xsi:type="dcterms:W3CDTF">2023-01-10T08:29:00Z</dcterms:modified>
</cp:coreProperties>
</file>